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A6B5C" w14:textId="77777777" w:rsidR="00AE025F" w:rsidRPr="008D2C45" w:rsidRDefault="00AE025F" w:rsidP="00AE025F">
      <w:pPr>
        <w:jc w:val="both"/>
        <w:rPr>
          <w:rFonts w:ascii="Cambria" w:hAnsi="Cambria"/>
        </w:rPr>
      </w:pPr>
      <w:r w:rsidRPr="008D2C45">
        <w:rPr>
          <w:rFonts w:ascii="Cambria" w:hAnsi="Cambria"/>
        </w:rPr>
        <w:t xml:space="preserve">**** </w:t>
      </w:r>
    </w:p>
    <w:tbl>
      <w:tblPr>
        <w:tblW w:w="9923" w:type="dxa"/>
        <w:tblInd w:w="-142" w:type="dxa"/>
        <w:tblLook w:val="01E0" w:firstRow="1" w:lastRow="1" w:firstColumn="1" w:lastColumn="1" w:noHBand="0" w:noVBand="0"/>
      </w:tblPr>
      <w:tblGrid>
        <w:gridCol w:w="5812"/>
        <w:gridCol w:w="445"/>
        <w:gridCol w:w="3666"/>
      </w:tblGrid>
      <w:tr w:rsidR="00AE025F" w:rsidRPr="008D2C45" w14:paraId="2024C39E" w14:textId="77777777" w:rsidTr="00AE025F">
        <w:trPr>
          <w:trHeight w:val="1368"/>
        </w:trPr>
        <w:tc>
          <w:tcPr>
            <w:tcW w:w="5812" w:type="dxa"/>
            <w:vMerge w:val="restart"/>
          </w:tcPr>
          <w:p w14:paraId="7FE55AB2" w14:textId="77777777" w:rsidR="00AE025F" w:rsidRPr="008D2C45" w:rsidRDefault="00AE025F" w:rsidP="002F213D">
            <w:pPr>
              <w:jc w:val="both"/>
              <w:rPr>
                <w:rFonts w:ascii="Cambria" w:hAnsi="Cambria"/>
                <w:b/>
                <w:bCs/>
              </w:rPr>
            </w:pPr>
            <w:r w:rsidRPr="008D2C45">
              <w:rPr>
                <w:rFonts w:ascii="Cambria" w:hAnsi="Cambria"/>
                <w:b/>
                <w:bCs/>
              </w:rPr>
              <w:t>ΕΛΛΗΝΙΚΗ ΔΗΜΟΚΡΑΤΙΑ</w:t>
            </w:r>
          </w:p>
          <w:p w14:paraId="1CD55A4C" w14:textId="77777777" w:rsidR="00AE025F" w:rsidRPr="008D2C45" w:rsidRDefault="00AE025F" w:rsidP="002F213D">
            <w:pPr>
              <w:jc w:val="both"/>
              <w:rPr>
                <w:rFonts w:ascii="Cambria" w:hAnsi="Cambria"/>
                <w:b/>
                <w:bCs/>
              </w:rPr>
            </w:pPr>
            <w:r w:rsidRPr="008D2C45">
              <w:rPr>
                <w:rFonts w:ascii="Cambria" w:hAnsi="Cambria"/>
                <w:b/>
                <w:bCs/>
              </w:rPr>
              <w:t xml:space="preserve">ΥΠΟΥΡΓΕΙΟ ΚΛΙΜΑΤΙΚΗΣ ΚΡΙΣΗΣ </w:t>
            </w:r>
          </w:p>
          <w:p w14:paraId="3FF5E45C" w14:textId="77777777" w:rsidR="00AE025F" w:rsidRPr="008D2C45" w:rsidRDefault="00AE025F" w:rsidP="002F213D">
            <w:pPr>
              <w:jc w:val="both"/>
              <w:rPr>
                <w:rFonts w:ascii="Cambria" w:hAnsi="Cambria"/>
                <w:b/>
                <w:bCs/>
              </w:rPr>
            </w:pPr>
            <w:r w:rsidRPr="008D2C45">
              <w:rPr>
                <w:rFonts w:ascii="Cambria" w:hAnsi="Cambria"/>
                <w:b/>
                <w:bCs/>
              </w:rPr>
              <w:t>ΚΑΙ ΠΟΛΙΤΙΚΗΣ ΠΡΟΣΤΑΣΙΑΣ</w:t>
            </w:r>
          </w:p>
          <w:p w14:paraId="57467397" w14:textId="77777777" w:rsidR="00AE025F" w:rsidRPr="008D2C45" w:rsidRDefault="00AE025F" w:rsidP="002F213D">
            <w:pPr>
              <w:jc w:val="both"/>
              <w:rPr>
                <w:rFonts w:ascii="Cambria" w:hAnsi="Cambria"/>
                <w:b/>
                <w:bCs/>
              </w:rPr>
            </w:pPr>
            <w:r w:rsidRPr="008D2C45">
              <w:rPr>
                <w:rFonts w:ascii="Cambria" w:hAnsi="Cambria"/>
                <w:b/>
                <w:bCs/>
              </w:rPr>
              <w:t>ΓΕΝΙΚΗ ΓΡΑΜΜΑΤΕΙΑ ΑΠΟΚΑΤΑΣΤΑΣΗΣ</w:t>
            </w:r>
          </w:p>
          <w:p w14:paraId="44CD3D59" w14:textId="77777777" w:rsidR="00AE025F" w:rsidRPr="008D2C45" w:rsidRDefault="00AE025F" w:rsidP="002F213D">
            <w:pPr>
              <w:jc w:val="both"/>
              <w:rPr>
                <w:rFonts w:ascii="Cambria" w:hAnsi="Cambria"/>
                <w:b/>
                <w:bCs/>
              </w:rPr>
            </w:pPr>
            <w:r w:rsidRPr="008D2C45">
              <w:rPr>
                <w:rFonts w:ascii="Cambria" w:hAnsi="Cambria"/>
                <w:b/>
                <w:bCs/>
              </w:rPr>
              <w:t>ΦΥΣΙΚΩΝ ΚΑΤΑΣΤΡΟΦΩΝ ΚΑΙ ΚΡΑΤΙΚΗΣ ΑΡΩΓΗΣ</w:t>
            </w:r>
          </w:p>
          <w:p w14:paraId="10B762D7" w14:textId="77777777" w:rsidR="00AE025F" w:rsidRPr="008D2C45" w:rsidRDefault="00AE025F" w:rsidP="002F213D">
            <w:pPr>
              <w:jc w:val="both"/>
              <w:rPr>
                <w:rFonts w:ascii="Cambria" w:hAnsi="Cambria"/>
              </w:rPr>
            </w:pPr>
          </w:p>
        </w:tc>
        <w:tc>
          <w:tcPr>
            <w:tcW w:w="445" w:type="dxa"/>
          </w:tcPr>
          <w:p w14:paraId="66578DF9" w14:textId="77777777" w:rsidR="00AE025F" w:rsidRPr="008D2C45" w:rsidRDefault="00AE025F" w:rsidP="002F213D">
            <w:pPr>
              <w:jc w:val="both"/>
              <w:rPr>
                <w:rFonts w:ascii="Cambria" w:hAnsi="Cambria"/>
                <w:b/>
                <w:bCs/>
              </w:rPr>
            </w:pPr>
          </w:p>
        </w:tc>
        <w:tc>
          <w:tcPr>
            <w:tcW w:w="3666" w:type="dxa"/>
          </w:tcPr>
          <w:p w14:paraId="47EE6851" w14:textId="77777777" w:rsidR="00AE025F" w:rsidRPr="008D2C45" w:rsidRDefault="00AE025F" w:rsidP="002F213D">
            <w:pPr>
              <w:rPr>
                <w:rFonts w:ascii="Cambria" w:hAnsi="Cambria"/>
                <w:b/>
                <w:bCs/>
              </w:rPr>
            </w:pPr>
          </w:p>
        </w:tc>
      </w:tr>
      <w:tr w:rsidR="00AE025F" w:rsidRPr="008D2C45" w14:paraId="42653519" w14:textId="77777777" w:rsidTr="00AE025F">
        <w:trPr>
          <w:trHeight w:val="633"/>
        </w:trPr>
        <w:tc>
          <w:tcPr>
            <w:tcW w:w="5812" w:type="dxa"/>
            <w:vMerge/>
          </w:tcPr>
          <w:p w14:paraId="3D715638" w14:textId="77777777" w:rsidR="00AE025F" w:rsidRPr="008D2C45" w:rsidRDefault="00AE025F" w:rsidP="002F213D">
            <w:pPr>
              <w:jc w:val="both"/>
              <w:rPr>
                <w:rFonts w:ascii="Cambria" w:hAnsi="Cambria" w:cstheme="minorHAnsi"/>
                <w:b/>
              </w:rPr>
            </w:pPr>
          </w:p>
        </w:tc>
        <w:tc>
          <w:tcPr>
            <w:tcW w:w="445" w:type="dxa"/>
          </w:tcPr>
          <w:p w14:paraId="400589AC" w14:textId="77777777" w:rsidR="00AE025F" w:rsidRPr="008D2C45" w:rsidRDefault="00AE025F" w:rsidP="002F213D">
            <w:pPr>
              <w:jc w:val="both"/>
              <w:rPr>
                <w:rFonts w:ascii="Cambria" w:hAnsi="Cambria"/>
                <w:b/>
                <w:bCs/>
              </w:rPr>
            </w:pPr>
          </w:p>
        </w:tc>
        <w:tc>
          <w:tcPr>
            <w:tcW w:w="3666" w:type="dxa"/>
          </w:tcPr>
          <w:p w14:paraId="2F7F5178" w14:textId="77777777" w:rsidR="00AE025F" w:rsidRPr="008D2C45" w:rsidRDefault="00AE025F" w:rsidP="002F213D">
            <w:pPr>
              <w:rPr>
                <w:rFonts w:ascii="Cambria" w:hAnsi="Cambria"/>
                <w:b/>
                <w:bCs/>
              </w:rPr>
            </w:pPr>
          </w:p>
        </w:tc>
      </w:tr>
    </w:tbl>
    <w:p w14:paraId="3FB2C504" w14:textId="77777777" w:rsidR="00AE025F" w:rsidRPr="008D2C45" w:rsidRDefault="00AE025F" w:rsidP="00AE025F">
      <w:pPr>
        <w:spacing w:before="120" w:line="276" w:lineRule="auto"/>
        <w:ind w:right="210"/>
        <w:jc w:val="center"/>
        <w:rPr>
          <w:rFonts w:ascii="Cambria" w:hAnsi="Cambria"/>
          <w:b/>
          <w:bCs/>
        </w:rPr>
      </w:pPr>
      <w:bookmarkStart w:id="0" w:name="_Hlk146802873"/>
      <w:bookmarkStart w:id="1" w:name="_Hlk159845573"/>
      <w:r w:rsidRPr="008D2C45">
        <w:rPr>
          <w:rFonts w:ascii="Cambria" w:hAnsi="Cambria"/>
          <w:b/>
          <w:bCs/>
        </w:rPr>
        <w:t>Ενημερωτικό σημείωμα</w:t>
      </w:r>
      <w:bookmarkStart w:id="2" w:name="_Hlk148944207"/>
      <w:bookmarkEnd w:id="0"/>
    </w:p>
    <w:bookmarkEnd w:id="1"/>
    <w:bookmarkEnd w:id="2"/>
    <w:p w14:paraId="483D087D" w14:textId="77777777" w:rsidR="00AE025F" w:rsidRPr="008D2C45" w:rsidRDefault="00AE025F" w:rsidP="00AE025F">
      <w:pPr>
        <w:spacing w:before="120" w:line="276" w:lineRule="auto"/>
        <w:ind w:right="210"/>
        <w:jc w:val="center"/>
        <w:rPr>
          <w:rFonts w:ascii="Cambria" w:hAnsi="Cambria"/>
          <w:b/>
          <w:bCs/>
        </w:rPr>
      </w:pPr>
      <w:r w:rsidRPr="008D2C45">
        <w:rPr>
          <w:rFonts w:ascii="Cambria" w:hAnsi="Cambria"/>
          <w:b/>
          <w:bCs/>
        </w:rPr>
        <w:t xml:space="preserve">Πλημμύρες Σεπτεμβρίου 2023 </w:t>
      </w:r>
      <w:r w:rsidRPr="008D2C45">
        <w:rPr>
          <w:rFonts w:ascii="Cambria" w:hAnsi="Cambria"/>
          <w:b/>
          <w:bCs/>
          <w:lang w:val="en-US"/>
        </w:rPr>
        <w:t>Daniel</w:t>
      </w:r>
    </w:p>
    <w:p w14:paraId="687B7BAC" w14:textId="77777777" w:rsidR="00AE025F" w:rsidRPr="008D2C45" w:rsidRDefault="00AE025F" w:rsidP="00AE025F">
      <w:pPr>
        <w:spacing w:before="120" w:line="276" w:lineRule="auto"/>
        <w:ind w:right="210"/>
        <w:jc w:val="center"/>
        <w:rPr>
          <w:rFonts w:ascii="Cambria" w:hAnsi="Cambria"/>
          <w:b/>
          <w:bCs/>
        </w:rPr>
      </w:pPr>
    </w:p>
    <w:p w14:paraId="644474A3" w14:textId="77777777" w:rsidR="00AE025F" w:rsidRPr="008D2C45" w:rsidRDefault="00AE025F" w:rsidP="00AE025F">
      <w:pPr>
        <w:spacing w:before="120" w:line="276" w:lineRule="auto"/>
        <w:jc w:val="both"/>
        <w:rPr>
          <w:rFonts w:ascii="Cambria" w:hAnsi="Cambria"/>
          <w:color w:val="000000" w:themeColor="text1"/>
        </w:rPr>
      </w:pPr>
      <w:r w:rsidRPr="008D2C45">
        <w:rPr>
          <w:rFonts w:ascii="Cambria" w:eastAsia="Calibri" w:hAnsi="Cambria" w:cs="Calibri"/>
          <w:color w:val="000000" w:themeColor="text1"/>
        </w:rPr>
        <w:t>Αναφορικά με τις πλημμύρες Σεπτεμβρίου 2023 «</w:t>
      </w:r>
      <w:r w:rsidRPr="008D2C45">
        <w:rPr>
          <w:rFonts w:ascii="Cambria" w:eastAsia="Calibri" w:hAnsi="Cambria" w:cs="Calibri"/>
          <w:b/>
          <w:bCs/>
          <w:color w:val="000000" w:themeColor="text1"/>
          <w:lang w:val="en-US"/>
        </w:rPr>
        <w:t>Daniel</w:t>
      </w:r>
      <w:r w:rsidRPr="008D2C45">
        <w:rPr>
          <w:rFonts w:ascii="Cambria" w:eastAsia="Calibri" w:hAnsi="Cambria" w:cs="Calibri"/>
          <w:color w:val="000000" w:themeColor="text1"/>
        </w:rPr>
        <w:t>»</w:t>
      </w:r>
      <w:r w:rsidRPr="008D2C45">
        <w:rPr>
          <w:rFonts w:ascii="Cambria" w:eastAsia="Calibri" w:hAnsi="Cambria" w:cs="Calibri"/>
          <w:b/>
          <w:bCs/>
          <w:color w:val="000000" w:themeColor="text1"/>
        </w:rPr>
        <w:t xml:space="preserve"> </w:t>
      </w:r>
      <w:r w:rsidRPr="008D2C45">
        <w:rPr>
          <w:rFonts w:ascii="Cambria" w:eastAsia="Calibri" w:hAnsi="Cambria" w:cs="Calibri"/>
          <w:color w:val="000000" w:themeColor="text1"/>
        </w:rPr>
        <w:t>που έπληξαν τη Θεσσαλία και λοιπές περιοχές της χώρας, σας ενημερώνουμε ότι υλοποιούνται τα παρακάτω μέτρα κρατικής αρωγής</w:t>
      </w:r>
      <w:r w:rsidRPr="008D2C45">
        <w:rPr>
          <w:rFonts w:ascii="Cambria" w:hAnsi="Cambria"/>
          <w:color w:val="000000" w:themeColor="text1"/>
        </w:rPr>
        <w:t>:</w:t>
      </w:r>
    </w:p>
    <w:p w14:paraId="313B746C" w14:textId="77777777" w:rsidR="00AE025F" w:rsidRPr="008D2C45" w:rsidRDefault="00AE025F" w:rsidP="00AE025F">
      <w:pPr>
        <w:pStyle w:val="ListParagraph"/>
        <w:numPr>
          <w:ilvl w:val="0"/>
          <w:numId w:val="35"/>
        </w:numPr>
        <w:spacing w:before="120" w:after="0" w:line="276" w:lineRule="auto"/>
        <w:jc w:val="both"/>
        <w:rPr>
          <w:rFonts w:ascii="Cambria" w:hAnsi="Cambria"/>
          <w:b/>
          <w:bCs/>
          <w:color w:val="000000" w:themeColor="text1"/>
        </w:rPr>
      </w:pPr>
      <w:r w:rsidRPr="008D2C45">
        <w:rPr>
          <w:rFonts w:ascii="Cambria" w:hAnsi="Cambria"/>
          <w:b/>
          <w:bCs/>
          <w:color w:val="000000" w:themeColor="text1"/>
        </w:rPr>
        <w:t>Ενίσχυση για πρώτες ανάγκες, ζημιές σε οικοσκευή και απλές επισκευαστικές εργασίες  (μέσω πλατφόρμας arogi.gov.gr)</w:t>
      </w:r>
    </w:p>
    <w:p w14:paraId="50EE1997" w14:textId="77777777" w:rsidR="00AE025F" w:rsidRPr="008D2C45" w:rsidRDefault="00AE025F" w:rsidP="00AE025F">
      <w:pPr>
        <w:spacing w:before="120" w:line="276" w:lineRule="auto"/>
        <w:jc w:val="both"/>
        <w:rPr>
          <w:rFonts w:ascii="Cambria" w:hAnsi="Cambria"/>
          <w:color w:val="000000" w:themeColor="text1"/>
        </w:rPr>
      </w:pPr>
      <w:r w:rsidRPr="008D2C45">
        <w:rPr>
          <w:rFonts w:ascii="Cambria" w:hAnsi="Cambria"/>
          <w:color w:val="000000" w:themeColor="text1"/>
        </w:rPr>
        <w:t xml:space="preserve">Οι ενισχύσεις αθροιστικά ανέρχονται μέχρι του ποσού των </w:t>
      </w:r>
      <w:r w:rsidRPr="008D2C45">
        <w:rPr>
          <w:rFonts w:ascii="Cambria" w:hAnsi="Cambria"/>
          <w:b/>
          <w:bCs/>
          <w:color w:val="000000" w:themeColor="text1"/>
        </w:rPr>
        <w:t>6.600 ευρώ για κύρια κατοικία</w:t>
      </w:r>
      <w:r w:rsidRPr="008D2C45">
        <w:rPr>
          <w:rFonts w:ascii="Cambria" w:hAnsi="Cambria"/>
          <w:color w:val="000000" w:themeColor="text1"/>
        </w:rPr>
        <w:t xml:space="preserve">, ανάλογα με την καταγραφή της σοβαρότητας των ζημιών και περιορίζονταν στο 50% του ποσού στην περίπτωση δευτερεύουσας κατοικίας, μετά από διασταυρώσεις. Για συγκεκριμένες περιοχές που επλήγησαν καθολικά, όπως αυτές προσδιορίστηκαν από το Πυροσβεστικό Σώμα, διενεργήθηκαν αυτοματοποιημένες καταβολές. </w:t>
      </w:r>
    </w:p>
    <w:p w14:paraId="5958A533" w14:textId="77777777" w:rsidR="00AE025F" w:rsidRPr="008D2C45" w:rsidRDefault="00AE025F" w:rsidP="00AE025F">
      <w:pPr>
        <w:spacing w:before="120" w:line="276" w:lineRule="auto"/>
        <w:jc w:val="both"/>
        <w:rPr>
          <w:rFonts w:ascii="Cambria" w:hAnsi="Cambria"/>
          <w:b/>
          <w:bCs/>
          <w:color w:val="000000" w:themeColor="text1"/>
        </w:rPr>
      </w:pPr>
      <w:r w:rsidRPr="008D2C45">
        <w:rPr>
          <w:rFonts w:ascii="Cambria" w:hAnsi="Cambria"/>
          <w:b/>
          <w:bCs/>
          <w:color w:val="000000" w:themeColor="text1"/>
        </w:rPr>
        <w:t xml:space="preserve">Συνολικά, έχουν πιστωθεί 87,138 εκατ. ευρώ σε 19.420 </w:t>
      </w:r>
      <w:r w:rsidRPr="008D2C45">
        <w:rPr>
          <w:rFonts w:ascii="Cambria" w:hAnsi="Cambria"/>
          <w:b/>
          <w:bCs/>
        </w:rPr>
        <w:t>δικαιούχους, εκ των οποίων 85,447 εκατ. ευρώ σε 18.976 δικαιούχους στην Περιφέρεια Θεσσαλίας και 1,4 εκατ. ευρώ σε 357 δικαιούχους στην Περιφέρεια Στερεάς Ελλάδας.</w:t>
      </w:r>
    </w:p>
    <w:p w14:paraId="38C66C38" w14:textId="77777777" w:rsidR="00AE025F" w:rsidRPr="008D2C45" w:rsidRDefault="00AE025F" w:rsidP="00AE025F">
      <w:pPr>
        <w:pStyle w:val="ListParagraph"/>
        <w:numPr>
          <w:ilvl w:val="0"/>
          <w:numId w:val="35"/>
        </w:numPr>
        <w:spacing w:before="120" w:after="0" w:line="276" w:lineRule="auto"/>
        <w:jc w:val="both"/>
        <w:rPr>
          <w:rFonts w:ascii="Cambria" w:hAnsi="Cambria"/>
          <w:b/>
          <w:bCs/>
          <w:color w:val="000000" w:themeColor="text1"/>
        </w:rPr>
      </w:pPr>
      <w:r w:rsidRPr="008D2C45">
        <w:rPr>
          <w:rFonts w:ascii="Cambria" w:hAnsi="Cambria"/>
          <w:b/>
          <w:bCs/>
          <w:color w:val="000000" w:themeColor="text1"/>
        </w:rPr>
        <w:t>Ενίσχυση για πρώτες ανάγκες, ζημιές σε οικοσκευή και απλές επισκευαστικές εργασίες  (μέσω Δήμων)</w:t>
      </w:r>
    </w:p>
    <w:p w14:paraId="2F328041" w14:textId="77777777" w:rsidR="00AE025F" w:rsidRPr="008D2C45" w:rsidRDefault="00AE025F" w:rsidP="00AE025F">
      <w:pPr>
        <w:spacing w:before="120" w:line="276" w:lineRule="auto"/>
        <w:jc w:val="both"/>
        <w:rPr>
          <w:rFonts w:ascii="Cambria" w:hAnsi="Cambria"/>
          <w:color w:val="000000" w:themeColor="text1"/>
        </w:rPr>
      </w:pPr>
      <w:r w:rsidRPr="008D2C45">
        <w:rPr>
          <w:rFonts w:ascii="Cambria" w:hAnsi="Cambria"/>
          <w:color w:val="000000" w:themeColor="text1"/>
        </w:rPr>
        <w:t xml:space="preserve">Επιπλέον, </w:t>
      </w:r>
      <w:r w:rsidRPr="008D2C45">
        <w:rPr>
          <w:rFonts w:ascii="Cambria" w:eastAsia="Calibri" w:hAnsi="Cambria" w:cs="Calibri"/>
          <w:color w:val="000000" w:themeColor="text1"/>
        </w:rPr>
        <w:t xml:space="preserve">προβλέφθηκε </w:t>
      </w:r>
      <w:r w:rsidRPr="008D2C45">
        <w:rPr>
          <w:rFonts w:ascii="Cambria" w:hAnsi="Cambria"/>
          <w:color w:val="000000" w:themeColor="text1"/>
        </w:rPr>
        <w:t xml:space="preserve">η καταβολή από τους Δήμους προσαύξησης του επιδόματος πρώτων βιοτικών αναγκών για πολύτεκνες οικογένειες και άτομα με αναπηρία στις περιπτώσεις που επλήγη η κύρια κατοικία, καθώς και οικονομική ενίσχυση σε άτομα που υπέστησαν αναπηρία (67%) στη φυσική καταστροφή. </w:t>
      </w:r>
    </w:p>
    <w:p w14:paraId="3F6F0445" w14:textId="77777777" w:rsidR="00AE025F" w:rsidRPr="008D2C45" w:rsidRDefault="00AE025F" w:rsidP="00AE025F">
      <w:pPr>
        <w:spacing w:before="120" w:line="276" w:lineRule="auto"/>
        <w:jc w:val="both"/>
        <w:rPr>
          <w:rFonts w:ascii="Cambria" w:hAnsi="Cambria"/>
          <w:color w:val="000000" w:themeColor="text1"/>
        </w:rPr>
      </w:pPr>
      <w:r w:rsidRPr="008D2C45">
        <w:rPr>
          <w:rFonts w:ascii="Cambria" w:hAnsi="Cambria"/>
          <w:color w:val="000000" w:themeColor="text1"/>
        </w:rPr>
        <w:t xml:space="preserve">Πλέον, υλοποιείται η </w:t>
      </w:r>
      <w:r w:rsidRPr="008D2C45">
        <w:rPr>
          <w:rFonts w:ascii="Cambria" w:hAnsi="Cambria"/>
          <w:b/>
          <w:bCs/>
          <w:color w:val="000000" w:themeColor="text1"/>
        </w:rPr>
        <w:t>τελική φάση</w:t>
      </w:r>
      <w:r w:rsidRPr="008D2C45">
        <w:rPr>
          <w:rFonts w:ascii="Cambria" w:hAnsi="Cambria"/>
          <w:color w:val="000000" w:themeColor="text1"/>
        </w:rPr>
        <w:t xml:space="preserve"> της χορήγησης της ενίσχυσης σε συνεργασία με τους Δήμους. Οι ενδιαφερόμενοι που ενδεχομένως δεν είχαν λάβει ενίσχυση για οικοσκευή, </w:t>
      </w:r>
      <w:r w:rsidRPr="008D2C45">
        <w:rPr>
          <w:rFonts w:ascii="Cambria" w:hAnsi="Cambria"/>
          <w:color w:val="000000" w:themeColor="text1"/>
        </w:rPr>
        <w:lastRenderedPageBreak/>
        <w:t>μπορούσαν να υποβάλουν αίτηση μέχρι τις 31.12.2024 στους Δήμους, ώστε μετά διασταυρώσεις να καταβληθούν οι ενισχύσεις.</w:t>
      </w:r>
    </w:p>
    <w:p w14:paraId="2103AFEC" w14:textId="77777777" w:rsidR="00AE025F" w:rsidRPr="008D2C45" w:rsidRDefault="00AE025F" w:rsidP="00AE025F">
      <w:pPr>
        <w:spacing w:before="120" w:line="276" w:lineRule="auto"/>
        <w:jc w:val="both"/>
        <w:rPr>
          <w:rFonts w:ascii="Cambria" w:hAnsi="Cambria"/>
          <w:b/>
          <w:bCs/>
          <w:color w:val="000000" w:themeColor="text1"/>
        </w:rPr>
      </w:pPr>
      <w:r w:rsidRPr="008D2C45">
        <w:rPr>
          <w:rFonts w:ascii="Cambria" w:hAnsi="Cambria"/>
          <w:b/>
          <w:bCs/>
          <w:color w:val="000000" w:themeColor="text1"/>
        </w:rPr>
        <w:t>Το ποσό που έχει επιπλέον καταβληθεί για οικοσκευή και το επίδομα πρώτων βιοτικών αναγκών, μέσω των Δήμων ανέρχεται σε 2,015 εκατ. ευρώ.</w:t>
      </w:r>
    </w:p>
    <w:p w14:paraId="2580B6F2" w14:textId="77777777" w:rsidR="00AE025F" w:rsidRPr="008D2C45" w:rsidRDefault="00AE025F" w:rsidP="00AE025F">
      <w:pPr>
        <w:pStyle w:val="ListParagraph"/>
        <w:numPr>
          <w:ilvl w:val="0"/>
          <w:numId w:val="35"/>
        </w:numPr>
        <w:spacing w:before="120" w:after="0" w:line="276" w:lineRule="auto"/>
        <w:jc w:val="both"/>
        <w:rPr>
          <w:rFonts w:ascii="Cambria" w:hAnsi="Cambria"/>
          <w:b/>
          <w:bCs/>
          <w:color w:val="000000" w:themeColor="text1"/>
        </w:rPr>
      </w:pPr>
      <w:r w:rsidRPr="008D2C45">
        <w:rPr>
          <w:rFonts w:ascii="Cambria" w:hAnsi="Cambria"/>
          <w:b/>
          <w:bCs/>
          <w:color w:val="000000" w:themeColor="text1"/>
        </w:rPr>
        <w:t>Πρώτη αρωγή έναντι στεγαστικής συνδρομής (μέσω πλατφόρμας arogi.gov.gr)</w:t>
      </w:r>
    </w:p>
    <w:p w14:paraId="55F71CF5" w14:textId="77777777" w:rsidR="00AE025F" w:rsidRPr="008D2C45" w:rsidRDefault="00AE025F" w:rsidP="00AE025F">
      <w:pPr>
        <w:spacing w:before="120" w:line="276" w:lineRule="auto"/>
        <w:jc w:val="both"/>
        <w:rPr>
          <w:rFonts w:ascii="Cambria" w:hAnsi="Cambria"/>
          <w:color w:val="000000" w:themeColor="text1"/>
        </w:rPr>
      </w:pPr>
      <w:r w:rsidRPr="008D2C45">
        <w:rPr>
          <w:rFonts w:ascii="Cambria" w:eastAsia="Calibri" w:hAnsi="Cambria" w:cs="Calibri"/>
          <w:color w:val="000000" w:themeColor="text1"/>
        </w:rPr>
        <w:t>Η ενίσχυση χορηγούταν</w:t>
      </w:r>
      <w:r w:rsidRPr="008D2C45">
        <w:rPr>
          <w:rFonts w:ascii="Cambria" w:hAnsi="Cambria"/>
          <w:color w:val="000000" w:themeColor="text1"/>
        </w:rPr>
        <w:t xml:space="preserve"> μετά από διασταυρώσεις, σε </w:t>
      </w:r>
      <w:r w:rsidRPr="008D2C45">
        <w:rPr>
          <w:rFonts w:ascii="Cambria" w:hAnsi="Cambria"/>
          <w:b/>
          <w:bCs/>
          <w:color w:val="000000" w:themeColor="text1"/>
        </w:rPr>
        <w:t>ιδιοκτήτες</w:t>
      </w:r>
      <w:r w:rsidRPr="008D2C45">
        <w:rPr>
          <w:rFonts w:ascii="Cambria" w:hAnsi="Cambria"/>
          <w:color w:val="000000" w:themeColor="text1"/>
        </w:rPr>
        <w:t xml:space="preserve"> </w:t>
      </w:r>
      <w:r w:rsidRPr="008D2C45">
        <w:rPr>
          <w:rFonts w:ascii="Cambria" w:hAnsi="Cambria"/>
          <w:b/>
          <w:bCs/>
          <w:color w:val="000000" w:themeColor="text1"/>
        </w:rPr>
        <w:t>κτιρίων</w:t>
      </w:r>
      <w:r w:rsidRPr="008D2C45">
        <w:rPr>
          <w:rFonts w:ascii="Cambria" w:hAnsi="Cambria"/>
          <w:color w:val="000000" w:themeColor="text1"/>
        </w:rPr>
        <w:t>, κατά πλήρη ή ψιλή κυριότητα, που υπέστησαν βλάβες από τις πλημύρες και έχουν χαρακτηριστεί ως επικίνδυνα για χρήση («κόκκινα») ή ως προσωρινά ακατάλληλα για χρήση («κίτρινα»), με το ποσό της ενίσχυσης</w:t>
      </w:r>
      <w:r w:rsidRPr="008D2C45">
        <w:rPr>
          <w:rFonts w:ascii="Cambria" w:hAnsi="Cambria"/>
        </w:rPr>
        <w:t xml:space="preserve"> να ανέρχεται σε 10.000 ευρώ ή σε 5.000 ευρώ αντίστοιχα. Η πρώτη αρωγή συμψηφίζεται με τη στεγαστική συνδρομή.</w:t>
      </w:r>
    </w:p>
    <w:p w14:paraId="041EC1F1" w14:textId="77777777" w:rsidR="00AE025F" w:rsidRPr="008D2C45" w:rsidRDefault="00AE025F" w:rsidP="00AE025F">
      <w:pPr>
        <w:spacing w:before="120" w:line="276" w:lineRule="auto"/>
        <w:jc w:val="both"/>
        <w:rPr>
          <w:rFonts w:ascii="Cambria" w:hAnsi="Cambria"/>
          <w:b/>
          <w:bCs/>
        </w:rPr>
      </w:pPr>
      <w:r w:rsidRPr="008D2C45">
        <w:rPr>
          <w:rFonts w:ascii="Cambria" w:hAnsi="Cambria"/>
          <w:b/>
          <w:bCs/>
          <w:color w:val="000000" w:themeColor="text1"/>
        </w:rPr>
        <w:t xml:space="preserve">Συνολικά, έχουν πιστωθεί 16,908 εκατ. ευρώ σε 3.001 δικαιούχους, </w:t>
      </w:r>
      <w:r w:rsidRPr="008D2C45">
        <w:rPr>
          <w:rFonts w:ascii="Cambria" w:hAnsi="Cambria"/>
          <w:b/>
          <w:bCs/>
        </w:rPr>
        <w:t>εκ των οποίων 16,84 εκατ. ευρώ σε 2.984 δικαιούχους στην Περιφέρεια Θεσσαλίας και 56.126 ευρώ σε 14 δικαιούχους στην Περιφέρεια Στερεάς Ελλάδας.</w:t>
      </w:r>
    </w:p>
    <w:p w14:paraId="2B02F359" w14:textId="77777777" w:rsidR="00AE025F" w:rsidRPr="008D2C45" w:rsidRDefault="00AE025F" w:rsidP="00AE025F">
      <w:pPr>
        <w:spacing w:before="120" w:line="276" w:lineRule="auto"/>
        <w:jc w:val="both"/>
        <w:rPr>
          <w:rFonts w:ascii="Cambria" w:hAnsi="Cambria"/>
          <w:b/>
          <w:bCs/>
        </w:rPr>
      </w:pPr>
    </w:p>
    <w:p w14:paraId="2B3E6B09" w14:textId="77777777" w:rsidR="00AE025F" w:rsidRPr="008D2C45" w:rsidRDefault="00AE025F" w:rsidP="00AE025F">
      <w:pPr>
        <w:pStyle w:val="ListParagraph"/>
        <w:numPr>
          <w:ilvl w:val="0"/>
          <w:numId w:val="35"/>
        </w:numPr>
        <w:spacing w:before="120" w:after="0" w:line="276" w:lineRule="auto"/>
        <w:jc w:val="both"/>
        <w:rPr>
          <w:rFonts w:ascii="Cambria" w:eastAsia="Calibri" w:hAnsi="Cambria" w:cs="Calibri"/>
          <w:b/>
          <w:bCs/>
          <w:color w:val="000000" w:themeColor="text1"/>
        </w:rPr>
      </w:pPr>
      <w:r w:rsidRPr="008D2C45">
        <w:rPr>
          <w:rFonts w:ascii="Cambria" w:eastAsia="Calibri" w:hAnsi="Cambria" w:cs="Calibri"/>
          <w:b/>
          <w:bCs/>
          <w:color w:val="000000" w:themeColor="text1"/>
        </w:rPr>
        <w:t>Πρώτη αρωγή έναντι επιχορήγησης (μέσω πλατφόρμας arogi.gov.gr)</w:t>
      </w:r>
    </w:p>
    <w:p w14:paraId="149CF99C" w14:textId="77777777" w:rsidR="00AE025F" w:rsidRPr="008D2C45" w:rsidRDefault="00AE025F" w:rsidP="00AE025F">
      <w:pPr>
        <w:spacing w:before="120" w:after="120" w:line="276" w:lineRule="auto"/>
        <w:jc w:val="both"/>
        <w:rPr>
          <w:rFonts w:ascii="Cambria" w:hAnsi="Cambria"/>
          <w:color w:val="000000" w:themeColor="text1"/>
        </w:rPr>
      </w:pPr>
      <w:r w:rsidRPr="008D2C45">
        <w:rPr>
          <w:rFonts w:ascii="Cambria" w:hAnsi="Cambria"/>
          <w:color w:val="000000" w:themeColor="text1"/>
        </w:rPr>
        <w:t xml:space="preserve">Η ενίσχυση χορηγήθηκε έναντι της τελικής επιχορήγησης για την αντιμετώπιση ζημιών προς επιχειρήσεις, μη κερδοσκοπικού χαρακτήρα φορείς και αγροτο-κτηνοτροφικές εκμεταλλεύσεις, ανάλογα με τη σοβαρότητα της ζημιάς, κατόπιν διασταύρωσης με τα στοιχεία του ΕΛΓΑ ή της Περιφέρειας και συμψηφίζεται με την προκαταβολή έναντι επιχορήγησης και την τελική επιχορήγηση. </w:t>
      </w:r>
    </w:p>
    <w:p w14:paraId="65209822" w14:textId="77777777" w:rsidR="00AE025F" w:rsidRPr="008D2C45" w:rsidRDefault="00AE025F" w:rsidP="00AE025F">
      <w:pPr>
        <w:spacing w:before="120" w:after="120" w:line="276" w:lineRule="auto"/>
        <w:jc w:val="both"/>
        <w:rPr>
          <w:rFonts w:ascii="Cambria" w:hAnsi="Cambria"/>
          <w:color w:val="000000" w:themeColor="text1"/>
        </w:rPr>
      </w:pPr>
      <w:r w:rsidRPr="008D2C45">
        <w:rPr>
          <w:rFonts w:ascii="Cambria" w:hAnsi="Cambria"/>
          <w:color w:val="000000" w:themeColor="text1"/>
        </w:rPr>
        <w:t>Τα ποσά για τις αγροτικές εκμεταλλεύσεις ανέρχονταν σε 2.000, 7.000 και 12.000 ευρώ για μεσαίες, σοβαρές και πολύ σοβαρές ζημιές αντίστοιχα και για τις επιχειρήσεις και τις κτηνοτροφικές μονάδες σε 2.000, 4.000 και 14.000 ευρώ για μεσαίες, σοβαρές και πολύ σοβαρές ζημιές αντίστοιχα.</w:t>
      </w:r>
    </w:p>
    <w:p w14:paraId="2E792E9D" w14:textId="77777777" w:rsidR="00AE025F" w:rsidRPr="008D2C45" w:rsidRDefault="00AE025F" w:rsidP="00AE025F">
      <w:pPr>
        <w:spacing w:before="120" w:line="276" w:lineRule="auto"/>
        <w:jc w:val="both"/>
        <w:rPr>
          <w:rFonts w:ascii="Cambria" w:hAnsi="Cambria"/>
          <w:color w:val="000000" w:themeColor="text1"/>
        </w:rPr>
      </w:pPr>
      <w:r w:rsidRPr="008D2C45">
        <w:rPr>
          <w:rFonts w:ascii="Cambria" w:hAnsi="Cambria"/>
          <w:b/>
          <w:bCs/>
          <w:color w:val="000000" w:themeColor="text1"/>
        </w:rPr>
        <w:t xml:space="preserve">Συνολικά, έχουν πιστωθεί 80,113 εκατ. ευρώ σε 28.517 δικαιούχους (επιχειρήσεις, κτηνοτροφικές μονάδες και αγροτικές εκμεταλλεύσεις – μη μοναδικοί ΑΦΜ), εκ των οποίων 66,027 εκατ. ευρώ σε 24.156 αγρότες και κτηνοτρόφους. </w:t>
      </w:r>
      <w:r w:rsidRPr="008D2C45">
        <w:rPr>
          <w:rFonts w:ascii="Cambria" w:hAnsi="Cambria"/>
          <w:color w:val="000000" w:themeColor="text1"/>
        </w:rPr>
        <w:t>Από τα ανωτέρω ποσά έχουν χορηγηθεί</w:t>
      </w:r>
    </w:p>
    <w:p w14:paraId="79FE03D7" w14:textId="77777777" w:rsidR="00AE025F" w:rsidRPr="008D2C45" w:rsidRDefault="00AE025F" w:rsidP="00AE025F">
      <w:pPr>
        <w:pStyle w:val="ListParagraph"/>
        <w:numPr>
          <w:ilvl w:val="0"/>
          <w:numId w:val="35"/>
        </w:numPr>
        <w:spacing w:before="120" w:after="0" w:line="276" w:lineRule="auto"/>
        <w:jc w:val="both"/>
        <w:rPr>
          <w:rFonts w:ascii="Cambria" w:hAnsi="Cambria"/>
          <w:b/>
          <w:bCs/>
          <w:color w:val="000000" w:themeColor="text1"/>
        </w:rPr>
      </w:pPr>
      <w:r w:rsidRPr="008D2C45">
        <w:rPr>
          <w:rFonts w:ascii="Cambria" w:hAnsi="Cambria"/>
          <w:b/>
          <w:bCs/>
          <w:color w:val="000000" w:themeColor="text1"/>
        </w:rPr>
        <w:t xml:space="preserve">Κρατική αρωγή προς πληγείσες επιχειρήσεις, πληγέντες φορείς και αγροτικές εκμεταλλεύσεις </w:t>
      </w:r>
    </w:p>
    <w:p w14:paraId="20E641E6" w14:textId="77777777" w:rsidR="00AE025F" w:rsidRPr="008D2C45" w:rsidRDefault="00AE025F" w:rsidP="00AE025F">
      <w:pPr>
        <w:spacing w:before="120" w:line="276" w:lineRule="auto"/>
        <w:jc w:val="both"/>
        <w:rPr>
          <w:rFonts w:ascii="Cambria" w:hAnsi="Cambria"/>
          <w:color w:val="000000" w:themeColor="text1"/>
        </w:rPr>
      </w:pPr>
      <w:r w:rsidRPr="008D2C45">
        <w:rPr>
          <w:rFonts w:ascii="Cambria" w:hAnsi="Cambria"/>
          <w:color w:val="000000" w:themeColor="text1"/>
        </w:rPr>
        <w:t xml:space="preserve">Για τις επιχειρήσεις, συμπεριλαμβανομένων των αγροτικών εκμεταλλεύσεων, προβλέπεται </w:t>
      </w:r>
      <w:r w:rsidRPr="008D2C45">
        <w:rPr>
          <w:rFonts w:ascii="Cambria" w:hAnsi="Cambria"/>
          <w:b/>
          <w:bCs/>
          <w:color w:val="000000" w:themeColor="text1"/>
        </w:rPr>
        <w:t>επιχορήγηση</w:t>
      </w:r>
      <w:r w:rsidRPr="008D2C45">
        <w:rPr>
          <w:rFonts w:ascii="Cambria" w:hAnsi="Cambria"/>
          <w:color w:val="000000" w:themeColor="text1"/>
        </w:rPr>
        <w:t xml:space="preserve">, καθώς και </w:t>
      </w:r>
      <w:r w:rsidRPr="008D2C45">
        <w:rPr>
          <w:rFonts w:ascii="Cambria" w:hAnsi="Cambria"/>
          <w:b/>
          <w:bCs/>
          <w:color w:val="000000" w:themeColor="text1"/>
        </w:rPr>
        <w:t xml:space="preserve">προκαταβολή </w:t>
      </w:r>
      <w:r w:rsidRPr="008D2C45">
        <w:rPr>
          <w:rFonts w:ascii="Cambria" w:hAnsi="Cambria"/>
          <w:color w:val="000000" w:themeColor="text1"/>
        </w:rPr>
        <w:t xml:space="preserve">έναντι της επιχορήγησης, συμψηφιζόμενου τυχόν ποσού πρώτης αρωγής που έχει καταβληθεί, σε ένα πλαίσιο στενής συνεργασίας με την </w:t>
      </w:r>
      <w:r w:rsidRPr="008D2C45">
        <w:rPr>
          <w:rFonts w:ascii="Cambria" w:hAnsi="Cambria"/>
          <w:color w:val="000000" w:themeColor="text1"/>
        </w:rPr>
        <w:lastRenderedPageBreak/>
        <w:t>Περιφέρεια (αρμόδια για τη σύσταση των επιτροπών κρατικής αρωγής για την καταγραφή και εκτίμηση ζημιών), καθώς και τον ΕΛΓΑ.</w:t>
      </w:r>
    </w:p>
    <w:p w14:paraId="3C7AD285" w14:textId="77777777" w:rsidR="00AE025F" w:rsidRPr="008D2C45" w:rsidRDefault="00AE025F" w:rsidP="00AE025F">
      <w:pPr>
        <w:spacing w:before="120" w:line="276" w:lineRule="auto"/>
        <w:jc w:val="both"/>
        <w:rPr>
          <w:rFonts w:ascii="Cambria" w:hAnsi="Cambria"/>
          <w:color w:val="000000" w:themeColor="text1"/>
        </w:rPr>
      </w:pPr>
      <w:r w:rsidRPr="008D2C45">
        <w:rPr>
          <w:rFonts w:ascii="Cambria" w:hAnsi="Cambria"/>
          <w:color w:val="000000" w:themeColor="text1"/>
        </w:rPr>
        <w:t xml:space="preserve">Η </w:t>
      </w:r>
      <w:r w:rsidRPr="008D2C45">
        <w:rPr>
          <w:rFonts w:ascii="Cambria" w:hAnsi="Cambria"/>
          <w:b/>
          <w:bCs/>
          <w:color w:val="000000" w:themeColor="text1"/>
        </w:rPr>
        <w:t xml:space="preserve">προκαταβολή, </w:t>
      </w:r>
      <w:r w:rsidRPr="008D2C45">
        <w:rPr>
          <w:rFonts w:ascii="Cambria" w:hAnsi="Cambria"/>
          <w:color w:val="000000" w:themeColor="text1"/>
        </w:rPr>
        <w:t xml:space="preserve">μετά την ενεργοποίηση της αυξημένης προκαταβολής για την αμεσότερη στήριξη των πληγέντων, </w:t>
      </w:r>
      <w:r w:rsidRPr="008D2C45">
        <w:rPr>
          <w:rFonts w:ascii="Cambria" w:hAnsi="Cambria"/>
          <w:b/>
          <w:bCs/>
          <w:color w:val="000000" w:themeColor="text1"/>
        </w:rPr>
        <w:t>ανέρχεται στο 60%</w:t>
      </w:r>
      <w:r w:rsidRPr="008D2C45">
        <w:rPr>
          <w:rFonts w:ascii="Cambria" w:hAnsi="Cambria"/>
          <w:color w:val="000000" w:themeColor="text1"/>
        </w:rPr>
        <w:t xml:space="preserve"> της εκτιμώμενης ζημιάς, ήτοι στο </w:t>
      </w:r>
      <w:r w:rsidRPr="008D2C45">
        <w:rPr>
          <w:rFonts w:ascii="Cambria" w:hAnsi="Cambria"/>
          <w:b/>
          <w:bCs/>
          <w:color w:val="000000" w:themeColor="text1"/>
        </w:rPr>
        <w:t>86% της κρατικής αρωγής</w:t>
      </w:r>
      <w:r w:rsidRPr="008D2C45">
        <w:rPr>
          <w:rFonts w:ascii="Cambria" w:hAnsi="Cambria"/>
          <w:color w:val="000000" w:themeColor="text1"/>
        </w:rPr>
        <w:t xml:space="preserve">. </w:t>
      </w:r>
    </w:p>
    <w:p w14:paraId="4EEB1A79" w14:textId="77777777" w:rsidR="00AE025F" w:rsidRPr="008D2C45" w:rsidRDefault="00AE025F" w:rsidP="00AE025F">
      <w:pPr>
        <w:spacing w:before="120" w:line="276" w:lineRule="auto"/>
        <w:jc w:val="both"/>
        <w:rPr>
          <w:rFonts w:ascii="Cambria" w:hAnsi="Cambria"/>
          <w:color w:val="000000" w:themeColor="text1"/>
        </w:rPr>
      </w:pPr>
      <w:r w:rsidRPr="008D2C45">
        <w:rPr>
          <w:rFonts w:ascii="Cambria" w:hAnsi="Cambria"/>
          <w:color w:val="000000" w:themeColor="text1"/>
        </w:rPr>
        <w:t>Η</w:t>
      </w:r>
      <w:r w:rsidRPr="008D2C45">
        <w:rPr>
          <w:rFonts w:ascii="Cambria" w:hAnsi="Cambria"/>
          <w:b/>
          <w:bCs/>
          <w:color w:val="000000" w:themeColor="text1"/>
        </w:rPr>
        <w:t xml:space="preserve"> επιχορήγηση καλύπτει το 70%</w:t>
      </w:r>
      <w:r w:rsidRPr="008D2C45">
        <w:rPr>
          <w:rFonts w:ascii="Cambria" w:hAnsi="Cambria"/>
          <w:color w:val="000000" w:themeColor="text1"/>
        </w:rPr>
        <w:t xml:space="preserve"> της εκτιμηθείσας ζημιάς, όπως αυτή προκύπτει από το έργο των επιτροπών κρατικής αρωγής, σε στοιχεία ενεργητικού της επιχείρησης (μηχανολογικό εξοπλισμό, πρώτες ύλες, εμπορεύματα και κατεστραμμένα οχήματα). Στην περίπτωση των αγροτικών εκμεταλλεύσεων, η επιχορήγηση αφορά τη ζημιά σε έγγειο κεφάλαιο, καθώς και τις ζημιές που θα καλύπτονταν από τον Κανονισμό Κρατικών Οικονομικών Ενισχύσεων (ΚΟΕ). </w:t>
      </w:r>
    </w:p>
    <w:p w14:paraId="2C636BD9" w14:textId="77777777" w:rsidR="00AE025F" w:rsidRPr="008D2C45" w:rsidRDefault="00AE025F" w:rsidP="00AE025F">
      <w:pPr>
        <w:spacing w:before="120" w:line="276" w:lineRule="auto"/>
        <w:jc w:val="both"/>
        <w:rPr>
          <w:rFonts w:ascii="Cambria" w:hAnsi="Cambria"/>
          <w:color w:val="000000" w:themeColor="text1"/>
        </w:rPr>
      </w:pPr>
      <w:r w:rsidRPr="008D2C45">
        <w:rPr>
          <w:rFonts w:ascii="Cambria" w:hAnsi="Cambria"/>
          <w:color w:val="000000" w:themeColor="text1"/>
        </w:rPr>
        <w:t xml:space="preserve">Ειδικά για τους </w:t>
      </w:r>
      <w:r w:rsidRPr="008D2C45">
        <w:rPr>
          <w:rFonts w:ascii="Cambria" w:hAnsi="Cambria"/>
          <w:b/>
          <w:bCs/>
          <w:color w:val="000000" w:themeColor="text1"/>
        </w:rPr>
        <w:t>μη κατά κύριο επάγγελμα αγρότες</w:t>
      </w:r>
      <w:r w:rsidRPr="008D2C45">
        <w:rPr>
          <w:rFonts w:ascii="Cambria" w:hAnsi="Cambria"/>
          <w:color w:val="000000" w:themeColor="text1"/>
        </w:rPr>
        <w:t>, η επιχορήγηση και η προκαταβολή ανέρχεται στο 50% του ποσοστού που καθορίζεται για τους κατ’ επάγγε</w:t>
      </w:r>
      <w:r w:rsidRPr="008D2C45">
        <w:rPr>
          <w:rFonts w:ascii="Cambria" w:hAnsi="Cambria"/>
        </w:rPr>
        <w:t xml:space="preserve">λμα αγρότες, συνεπώς η επιχορήγηση ανέρχεται στο </w:t>
      </w:r>
      <w:r w:rsidRPr="008D2C45">
        <w:rPr>
          <w:rFonts w:ascii="Cambria" w:hAnsi="Cambria"/>
          <w:b/>
          <w:bCs/>
        </w:rPr>
        <w:t xml:space="preserve">35% </w:t>
      </w:r>
      <w:r w:rsidRPr="008D2C45">
        <w:rPr>
          <w:rFonts w:ascii="Cambria" w:hAnsi="Cambria"/>
        </w:rPr>
        <w:t>της εκτιμηθείσας ζημιάς και η προκαταβολή στο</w:t>
      </w:r>
      <w:r w:rsidRPr="008D2C45">
        <w:rPr>
          <w:rFonts w:ascii="Cambria" w:hAnsi="Cambria"/>
          <w:b/>
          <w:bCs/>
        </w:rPr>
        <w:t xml:space="preserve"> 30%</w:t>
      </w:r>
      <w:r w:rsidRPr="008D2C45">
        <w:rPr>
          <w:rFonts w:ascii="Cambria" w:hAnsi="Cambria"/>
        </w:rPr>
        <w:t>, ήτοι στο 86% της κρατικής αρωγής.</w:t>
      </w:r>
    </w:p>
    <w:p w14:paraId="7D2D4024" w14:textId="77777777" w:rsidR="00AE025F" w:rsidRPr="008D2C45" w:rsidRDefault="00AE025F" w:rsidP="00AE025F">
      <w:pPr>
        <w:spacing w:before="120" w:line="276" w:lineRule="auto"/>
        <w:jc w:val="both"/>
        <w:rPr>
          <w:rFonts w:ascii="Cambria" w:hAnsi="Cambria"/>
          <w:b/>
          <w:bCs/>
          <w:color w:val="000000" w:themeColor="text1"/>
        </w:rPr>
      </w:pPr>
      <w:r w:rsidRPr="008D2C45">
        <w:rPr>
          <w:rFonts w:ascii="Cambria" w:eastAsia="Calibri" w:hAnsi="Cambria" w:cs="Calibri"/>
          <w:b/>
          <w:bCs/>
          <w:color w:val="000000" w:themeColor="text1"/>
        </w:rPr>
        <w:t xml:space="preserve">Μέχρι τις 24 Ιουλίου 2025 χορηγήθηκε αυξημένη προκαταβολή συνολικά 222,05 εκατ. ευρώ σε 21.929 δικαιούχους, εκ των οποίων 104,74 εκατ. ευρώ σε 16.703 αγρότες και κτηνοτρόφους. </w:t>
      </w:r>
    </w:p>
    <w:p w14:paraId="4C029CE3" w14:textId="77777777" w:rsidR="00AE025F" w:rsidRPr="008D2C45" w:rsidRDefault="00AE025F" w:rsidP="00AE025F">
      <w:pPr>
        <w:spacing w:before="120" w:line="276" w:lineRule="auto"/>
        <w:jc w:val="both"/>
        <w:rPr>
          <w:rFonts w:ascii="Cambria" w:eastAsia="Calibri" w:hAnsi="Cambria" w:cs="Calibri"/>
          <w:color w:val="000000" w:themeColor="text1"/>
        </w:rPr>
      </w:pPr>
      <w:r w:rsidRPr="008D2C45">
        <w:rPr>
          <w:rFonts w:ascii="Cambria" w:eastAsia="Calibri" w:hAnsi="Cambria" w:cs="Calibri"/>
        </w:rPr>
        <w:t xml:space="preserve">Όσον αφορά την </w:t>
      </w:r>
      <w:r w:rsidRPr="008D2C45">
        <w:rPr>
          <w:rFonts w:ascii="Cambria" w:eastAsia="Calibri" w:hAnsi="Cambria" w:cs="Calibri"/>
          <w:b/>
          <w:bCs/>
        </w:rPr>
        <w:t>τελική επιχορήγηση,</w:t>
      </w:r>
      <w:r w:rsidRPr="008D2C45">
        <w:rPr>
          <w:rFonts w:ascii="Cambria" w:eastAsia="Calibri" w:hAnsi="Cambria" w:cs="Calibri"/>
        </w:rPr>
        <w:t xml:space="preserve"> εκδόθηκε η </w:t>
      </w:r>
      <w:r w:rsidRPr="008D2C45">
        <w:rPr>
          <w:rFonts w:ascii="Cambria" w:eastAsia="Calibri" w:hAnsi="Cambria" w:cs="Calibri"/>
          <w:b/>
          <w:bCs/>
        </w:rPr>
        <w:t>ΚΥΑ 11476/26.02.2025</w:t>
      </w:r>
      <w:r w:rsidRPr="008D2C45">
        <w:rPr>
          <w:rFonts w:ascii="Cambria" w:eastAsia="Calibri" w:hAnsi="Cambria" w:cs="Calibri"/>
        </w:rPr>
        <w:t xml:space="preserve"> (Β΄908) με την οποία θεσπίζεται </w:t>
      </w:r>
      <w:r w:rsidRPr="008D2C45">
        <w:rPr>
          <w:rFonts w:ascii="Cambria" w:eastAsia="Calibri" w:hAnsi="Cambria" w:cs="Calibri"/>
          <w:b/>
          <w:bCs/>
        </w:rPr>
        <w:t>γενικό καθεστώς ενίσχυσης</w:t>
      </w:r>
      <w:r w:rsidRPr="008D2C45">
        <w:rPr>
          <w:rFonts w:ascii="Cambria" w:eastAsia="Calibri" w:hAnsi="Cambria" w:cs="Calibri"/>
        </w:rPr>
        <w:t xml:space="preserve"> για την Περιφέρεια Θεσσαλίας και την Περιφέρεια Στερεάς Ελλάδας και καθορίζονται οι όροι και οι προϋποθέσεις ενίσχυσης, συνολικού προϋπολογισμού για τα έτη 2025 ως και 2027 ανώτατου ορίου 160 εκατ. ευρώ. Στο ως άνω πλαίσιο θα εντάσσονται σταδιακά επιμέρους αποφάσεις δικαιούχων όπως αυτές θα εκδίδονται με τα στοιχεία που θα υποβάλλονται από τις Περιφερειακές Ενότητες (ΠΕ), με τις οποίες και έχει ήδη ξεκινήσει η συνεργασία για την έναρξη της διαδικασίας. Ήδη έχουν εκδοθεί τέσσερεις (4) αποφάσεις ένταξης στο καθεστώς (μία για κάθε ΠΕ της Περιφέρειας Θεσσαλίας) για 779 δικαιούχους (επιχειρήσεις) συνολικού προϋπολογισμού 3,99 εκατ. ευρώ, ενώ βρίσκονται υπό επεξεργασία με την Περιφέρεια Θεσσαλίας </w:t>
      </w:r>
      <w:r w:rsidRPr="008D2C45">
        <w:rPr>
          <w:rFonts w:ascii="Cambria" w:eastAsia="Calibri" w:hAnsi="Cambria" w:cs="Calibri"/>
          <w:b/>
          <w:bCs/>
        </w:rPr>
        <w:t>πάνω από 17.000 δικαιούχοι</w:t>
      </w:r>
      <w:r w:rsidRPr="008D2C45">
        <w:rPr>
          <w:rFonts w:ascii="Cambria" w:eastAsia="Calibri" w:hAnsi="Cambria" w:cs="Calibri"/>
        </w:rPr>
        <w:t xml:space="preserve"> (επιχειρήσεις και αγρότες - κτηνοτρόφοι) για την έκδοση σχετικών αποφάσεων ένταξης.</w:t>
      </w:r>
    </w:p>
    <w:p w14:paraId="1B499B64" w14:textId="77777777" w:rsidR="00AE025F" w:rsidRPr="008D2C45" w:rsidRDefault="00AE025F" w:rsidP="00AE025F">
      <w:pPr>
        <w:spacing w:before="120" w:line="276" w:lineRule="auto"/>
        <w:jc w:val="both"/>
        <w:rPr>
          <w:rFonts w:ascii="Cambria" w:eastAsia="Calibri" w:hAnsi="Cambria" w:cs="Calibri"/>
          <w:color w:val="000000" w:themeColor="text1"/>
        </w:rPr>
      </w:pPr>
      <w:r w:rsidRPr="008D2C45">
        <w:rPr>
          <w:rStyle w:val="normaltextrun"/>
          <w:rFonts w:ascii="Cambria" w:hAnsi="Cambria" w:cs="Calibri"/>
          <w:color w:val="000000"/>
          <w:shd w:val="clear" w:color="auto" w:fill="FFFFFF"/>
        </w:rPr>
        <w:t xml:space="preserve">Μετά την έκδοση των αποφάσεων οι ΠΕ θα συγκεντρώσουν τα δικαιολογητικά κάθε δικαιούχου ώστε στην πορεία να εξεταστούν και να αποσταλούν για εκκαθάριση, έλεγχο και πληρωμή. </w:t>
      </w:r>
    </w:p>
    <w:p w14:paraId="71DB0685" w14:textId="77777777" w:rsidR="00AE025F" w:rsidRPr="008D2C45" w:rsidRDefault="00AE025F" w:rsidP="00AE025F">
      <w:pPr>
        <w:spacing w:before="120" w:line="276" w:lineRule="auto"/>
        <w:jc w:val="both"/>
        <w:rPr>
          <w:rStyle w:val="normaltextrun"/>
          <w:rFonts w:ascii="Cambria" w:hAnsi="Cambria" w:cs="Calibri"/>
          <w:color w:val="000000" w:themeColor="text1"/>
        </w:rPr>
      </w:pPr>
      <w:r w:rsidRPr="008D2C45">
        <w:rPr>
          <w:rStyle w:val="normaltextrun"/>
          <w:rFonts w:ascii="Cambria" w:hAnsi="Cambria" w:cs="Calibri"/>
          <w:color w:val="000000" w:themeColor="text1"/>
        </w:rPr>
        <w:t>Αναμένεται η σταδιακή έκδοση νέων αποφάσεων εντός Σεπτεμβρίου, υπό την προϋπόθεση ότι θα ανταποκριθούν άμεσα οι ΠΕ για την υπογραφή των συγκεντρωτικών καταστάσεων δικαιούχων και ζημιών.</w:t>
      </w:r>
    </w:p>
    <w:p w14:paraId="7A96092F" w14:textId="77777777" w:rsidR="00AE025F" w:rsidRPr="008D2C45" w:rsidRDefault="00AE025F" w:rsidP="00AE025F">
      <w:pPr>
        <w:spacing w:before="120" w:line="276" w:lineRule="auto"/>
        <w:jc w:val="both"/>
        <w:rPr>
          <w:rStyle w:val="normaltextrun"/>
          <w:rFonts w:ascii="Cambria" w:hAnsi="Cambria" w:cs="Calibri"/>
          <w:color w:val="000000" w:themeColor="text1"/>
        </w:rPr>
      </w:pPr>
    </w:p>
    <w:p w14:paraId="68EB4D6D" w14:textId="77777777" w:rsidR="00AE025F" w:rsidRPr="008D2C45" w:rsidRDefault="00AE025F" w:rsidP="00AE025F">
      <w:pPr>
        <w:spacing w:before="120" w:line="276" w:lineRule="auto"/>
        <w:jc w:val="both"/>
        <w:rPr>
          <w:rStyle w:val="normaltextrun"/>
          <w:rFonts w:ascii="Cambria" w:hAnsi="Cambria" w:cs="Calibri"/>
          <w:color w:val="000000" w:themeColor="text1"/>
        </w:rPr>
      </w:pPr>
    </w:p>
    <w:p w14:paraId="26064A75" w14:textId="77777777" w:rsidR="00AE025F" w:rsidRPr="008D2C45" w:rsidRDefault="00AE025F" w:rsidP="00AE025F">
      <w:pPr>
        <w:pStyle w:val="ListParagraph"/>
        <w:numPr>
          <w:ilvl w:val="0"/>
          <w:numId w:val="35"/>
        </w:numPr>
        <w:spacing w:before="120" w:after="0" w:line="276" w:lineRule="auto"/>
        <w:jc w:val="both"/>
        <w:rPr>
          <w:rFonts w:ascii="Cambria" w:hAnsi="Cambria"/>
          <w:b/>
          <w:bCs/>
          <w:color w:val="000000" w:themeColor="text1"/>
        </w:rPr>
      </w:pPr>
      <w:r w:rsidRPr="008D2C45">
        <w:rPr>
          <w:rFonts w:ascii="Cambria" w:hAnsi="Cambria"/>
          <w:b/>
          <w:bCs/>
          <w:color w:val="000000" w:themeColor="text1"/>
        </w:rPr>
        <w:t xml:space="preserve">Ειδικό σχήμα ενίσχυσης επιχειρήσεων (μέσω πλατφόρμας </w:t>
      </w:r>
      <w:proofErr w:type="spellStart"/>
      <w:r w:rsidRPr="008D2C45">
        <w:rPr>
          <w:rFonts w:ascii="Cambria" w:hAnsi="Cambria"/>
          <w:b/>
          <w:bCs/>
          <w:color w:val="000000" w:themeColor="text1"/>
          <w:lang w:val="en-US"/>
        </w:rPr>
        <w:t>myBusinessSupport</w:t>
      </w:r>
      <w:proofErr w:type="spellEnd"/>
      <w:r w:rsidRPr="008D2C45">
        <w:rPr>
          <w:rFonts w:ascii="Cambria" w:hAnsi="Cambria"/>
          <w:b/>
          <w:bCs/>
          <w:color w:val="000000" w:themeColor="text1"/>
        </w:rPr>
        <w:t>)</w:t>
      </w:r>
    </w:p>
    <w:p w14:paraId="5A6327A5" w14:textId="77777777" w:rsidR="00AE025F" w:rsidRPr="008D2C45" w:rsidRDefault="00AE025F" w:rsidP="00AE025F">
      <w:pPr>
        <w:spacing w:before="120" w:line="276" w:lineRule="auto"/>
        <w:jc w:val="both"/>
        <w:rPr>
          <w:rFonts w:ascii="Cambria" w:hAnsi="Cambria"/>
          <w:color w:val="000000" w:themeColor="text1"/>
        </w:rPr>
      </w:pPr>
      <w:r w:rsidRPr="008D2C45">
        <w:rPr>
          <w:rFonts w:ascii="Cambria" w:hAnsi="Cambria"/>
          <w:color w:val="000000" w:themeColor="text1"/>
        </w:rPr>
        <w:t xml:space="preserve">Σε συνέχεια σχετικής εισήγησης από την Κυβερνητική Επιτροπή Κρατικής Αρωγής, υλοποιήθηκε ειδικό σχήμα για τη στήριξη των επιχειρήσεων της Θεσσαλίας που υπέστησαν απώλειες εξαιτίας των πλημμυρών του Σεπτεμβρίου 2023. Η υλοποίηση του εν λόγω σχήματος χωρίστηκε σε δύο φάσεις. Στην α φάση οι ενδιαφερόμενοι υπέβαλαν εκδήλωση ενδιαφέροντος. Στην β φάση καθορίστηκαν η διαδικασία και οι προϋποθέσεις επιχορήγησης. Το σχήμα χωρίστηκε σε πέντε επιμέρους </w:t>
      </w:r>
      <w:r w:rsidRPr="008D2C45">
        <w:rPr>
          <w:rFonts w:ascii="Cambria" w:hAnsi="Cambria"/>
          <w:b/>
          <w:bCs/>
          <w:color w:val="000000" w:themeColor="text1"/>
        </w:rPr>
        <w:t xml:space="preserve">υπο-σχήματα </w:t>
      </w:r>
      <w:r w:rsidRPr="008D2C45">
        <w:rPr>
          <w:rFonts w:ascii="Cambria" w:hAnsi="Cambria"/>
          <w:color w:val="000000" w:themeColor="text1"/>
        </w:rPr>
        <w:t xml:space="preserve">ως εξής: </w:t>
      </w:r>
    </w:p>
    <w:p w14:paraId="28F4C72D" w14:textId="77777777" w:rsidR="00AE025F" w:rsidRPr="008D2C45" w:rsidRDefault="00AE025F" w:rsidP="00AE025F">
      <w:pPr>
        <w:pStyle w:val="ListParagraph"/>
        <w:numPr>
          <w:ilvl w:val="0"/>
          <w:numId w:val="34"/>
        </w:numPr>
        <w:spacing w:before="120" w:after="0" w:line="276" w:lineRule="auto"/>
        <w:ind w:left="284" w:hanging="284"/>
        <w:jc w:val="both"/>
        <w:rPr>
          <w:rFonts w:ascii="Cambria" w:hAnsi="Cambria"/>
          <w:color w:val="000000" w:themeColor="text1"/>
        </w:rPr>
      </w:pPr>
      <w:r w:rsidRPr="008D2C45">
        <w:rPr>
          <w:rFonts w:ascii="Cambria" w:hAnsi="Cambria"/>
          <w:color w:val="000000" w:themeColor="text1"/>
        </w:rPr>
        <w:t xml:space="preserve">Επιχειρήσεις </w:t>
      </w:r>
      <w:r w:rsidRPr="008D2C45">
        <w:rPr>
          <w:rFonts w:ascii="Cambria" w:eastAsia="Calibri" w:hAnsi="Cambria" w:cs="Calibri"/>
          <w:color w:val="202122"/>
        </w:rPr>
        <w:t>–</w:t>
      </w:r>
      <w:r w:rsidRPr="008D2C45">
        <w:rPr>
          <w:rFonts w:ascii="Cambria" w:hAnsi="Cambria"/>
          <w:color w:val="000000" w:themeColor="text1"/>
        </w:rPr>
        <w:t>πλην αγροτικών εκμεταλλεύσεων</w:t>
      </w:r>
      <w:r w:rsidRPr="008D2C45">
        <w:rPr>
          <w:rFonts w:ascii="Cambria" w:eastAsia="Calibri" w:hAnsi="Cambria" w:cs="Calibri"/>
          <w:color w:val="202122"/>
        </w:rPr>
        <w:t>–</w:t>
      </w:r>
      <w:r w:rsidRPr="008D2C45">
        <w:rPr>
          <w:rFonts w:ascii="Cambria" w:hAnsi="Cambria"/>
          <w:color w:val="000000" w:themeColor="text1"/>
        </w:rPr>
        <w:t xml:space="preserve"> με έδρα ή υποκατάστημα στον</w:t>
      </w:r>
      <w:r w:rsidRPr="008D2C45">
        <w:rPr>
          <w:rFonts w:ascii="Cambria" w:hAnsi="Cambria"/>
          <w:b/>
          <w:bCs/>
          <w:color w:val="000000" w:themeColor="text1"/>
        </w:rPr>
        <w:t xml:space="preserve"> Δήμο Παλαμά</w:t>
      </w:r>
      <w:r w:rsidRPr="008D2C45">
        <w:rPr>
          <w:rFonts w:ascii="Cambria" w:hAnsi="Cambria"/>
          <w:color w:val="000000" w:themeColor="text1"/>
        </w:rPr>
        <w:t xml:space="preserve"> και στον </w:t>
      </w:r>
      <w:r w:rsidRPr="008D2C45">
        <w:rPr>
          <w:rFonts w:ascii="Cambria" w:hAnsi="Cambria"/>
          <w:b/>
          <w:bCs/>
          <w:color w:val="000000" w:themeColor="text1"/>
        </w:rPr>
        <w:t>Δήμο Φαρκαδόνας</w:t>
      </w:r>
      <w:r w:rsidRPr="008D2C45">
        <w:rPr>
          <w:rFonts w:ascii="Cambria" w:hAnsi="Cambria"/>
          <w:color w:val="000000" w:themeColor="text1"/>
        </w:rPr>
        <w:t xml:space="preserve">. </w:t>
      </w:r>
    </w:p>
    <w:p w14:paraId="5189C1D8" w14:textId="77777777" w:rsidR="00AE025F" w:rsidRPr="008D2C45" w:rsidRDefault="00AE025F" w:rsidP="00AE025F">
      <w:pPr>
        <w:pStyle w:val="ListParagraph"/>
        <w:numPr>
          <w:ilvl w:val="0"/>
          <w:numId w:val="34"/>
        </w:numPr>
        <w:spacing w:before="120" w:after="0" w:line="276" w:lineRule="auto"/>
        <w:ind w:left="284" w:hanging="284"/>
        <w:jc w:val="both"/>
        <w:rPr>
          <w:rFonts w:ascii="Cambria" w:hAnsi="Cambria"/>
          <w:color w:val="000000" w:themeColor="text1"/>
        </w:rPr>
      </w:pPr>
      <w:r w:rsidRPr="008D2C45">
        <w:rPr>
          <w:rFonts w:ascii="Cambria" w:hAnsi="Cambria"/>
          <w:color w:val="000000" w:themeColor="text1"/>
        </w:rPr>
        <w:t xml:space="preserve">Επιχειρήσεις που δραστηριοποιούνται στον </w:t>
      </w:r>
      <w:r w:rsidRPr="008D2C45">
        <w:rPr>
          <w:rFonts w:ascii="Cambria" w:hAnsi="Cambria"/>
          <w:b/>
          <w:bCs/>
          <w:color w:val="000000" w:themeColor="text1"/>
        </w:rPr>
        <w:t xml:space="preserve">τουριστικό τομέα </w:t>
      </w:r>
      <w:r w:rsidRPr="008D2C45">
        <w:rPr>
          <w:rFonts w:ascii="Cambria" w:hAnsi="Cambria"/>
          <w:color w:val="000000" w:themeColor="text1"/>
        </w:rPr>
        <w:t xml:space="preserve">σε περιοχές που επλήγησαν λόγω της μη ασφαλούς πρόσβασης και της ακαταλληλότητας των υδάτων. </w:t>
      </w:r>
    </w:p>
    <w:p w14:paraId="2CDE53A9" w14:textId="77777777" w:rsidR="00AE025F" w:rsidRPr="008D2C45" w:rsidRDefault="00AE025F" w:rsidP="00AE025F">
      <w:pPr>
        <w:pStyle w:val="ListParagraph"/>
        <w:numPr>
          <w:ilvl w:val="0"/>
          <w:numId w:val="34"/>
        </w:numPr>
        <w:spacing w:before="120" w:after="0" w:line="276" w:lineRule="auto"/>
        <w:ind w:left="284" w:hanging="284"/>
        <w:jc w:val="both"/>
        <w:rPr>
          <w:rFonts w:ascii="Cambria" w:hAnsi="Cambria"/>
          <w:color w:val="000000" w:themeColor="text1"/>
        </w:rPr>
      </w:pPr>
      <w:r w:rsidRPr="008D2C45">
        <w:rPr>
          <w:rFonts w:ascii="Cambria" w:hAnsi="Cambria"/>
          <w:color w:val="000000" w:themeColor="text1"/>
        </w:rPr>
        <w:t xml:space="preserve">Επιχειρήσεις που δραστηριοποιούνται στον </w:t>
      </w:r>
      <w:r w:rsidRPr="008D2C45">
        <w:rPr>
          <w:rFonts w:ascii="Cambria" w:hAnsi="Cambria"/>
          <w:b/>
          <w:bCs/>
          <w:color w:val="000000" w:themeColor="text1"/>
        </w:rPr>
        <w:t>τομέα της</w:t>
      </w:r>
      <w:r w:rsidRPr="008D2C45">
        <w:rPr>
          <w:rFonts w:ascii="Cambria" w:hAnsi="Cambria"/>
          <w:color w:val="000000" w:themeColor="text1"/>
        </w:rPr>
        <w:t xml:space="preserve"> </w:t>
      </w:r>
      <w:r w:rsidRPr="008D2C45">
        <w:rPr>
          <w:rFonts w:ascii="Cambria" w:hAnsi="Cambria"/>
          <w:b/>
          <w:bCs/>
          <w:color w:val="000000" w:themeColor="text1"/>
        </w:rPr>
        <w:t xml:space="preserve">μεταφοράς επιβατών </w:t>
      </w:r>
      <w:r w:rsidRPr="008D2C45">
        <w:rPr>
          <w:rFonts w:ascii="Cambria" w:hAnsi="Cambria"/>
          <w:color w:val="000000" w:themeColor="text1"/>
        </w:rPr>
        <w:t xml:space="preserve">σε περιοχές που επλήγησαν λόγω της μη ασφαλούς πρόσβασης και της ακαταλληλότητας των υδάτων. </w:t>
      </w:r>
    </w:p>
    <w:p w14:paraId="683C4C37" w14:textId="77777777" w:rsidR="00AE025F" w:rsidRPr="008D2C45" w:rsidRDefault="00AE025F" w:rsidP="00AE025F">
      <w:pPr>
        <w:pStyle w:val="ListParagraph"/>
        <w:numPr>
          <w:ilvl w:val="0"/>
          <w:numId w:val="34"/>
        </w:numPr>
        <w:spacing w:before="120" w:after="0" w:line="276" w:lineRule="auto"/>
        <w:ind w:left="284" w:hanging="284"/>
        <w:jc w:val="both"/>
        <w:rPr>
          <w:rFonts w:ascii="Cambria" w:hAnsi="Cambria"/>
          <w:color w:val="000000" w:themeColor="text1"/>
        </w:rPr>
      </w:pPr>
      <w:r w:rsidRPr="008D2C45">
        <w:rPr>
          <w:rFonts w:ascii="Cambria" w:hAnsi="Cambria"/>
          <w:color w:val="000000" w:themeColor="text1"/>
        </w:rPr>
        <w:t xml:space="preserve">Επιχειρήσεις που δραστηριοποιούνται στον τομέα των </w:t>
      </w:r>
      <w:r w:rsidRPr="008D2C45">
        <w:rPr>
          <w:rFonts w:ascii="Cambria" w:hAnsi="Cambria"/>
          <w:b/>
          <w:bCs/>
          <w:color w:val="000000" w:themeColor="text1"/>
        </w:rPr>
        <w:t xml:space="preserve">καταλυμάτων </w:t>
      </w:r>
      <w:r w:rsidRPr="008D2C45">
        <w:rPr>
          <w:rFonts w:ascii="Cambria" w:hAnsi="Cambria"/>
          <w:color w:val="000000" w:themeColor="text1"/>
        </w:rPr>
        <w:t xml:space="preserve">σε περιοχές που επλήγησαν λόγω της ακαταλληλότητας των υδάτων. </w:t>
      </w:r>
    </w:p>
    <w:p w14:paraId="6C44C14E" w14:textId="77777777" w:rsidR="00AE025F" w:rsidRPr="008D2C45" w:rsidRDefault="00AE025F" w:rsidP="00AE025F">
      <w:pPr>
        <w:pStyle w:val="ListParagraph"/>
        <w:numPr>
          <w:ilvl w:val="0"/>
          <w:numId w:val="34"/>
        </w:numPr>
        <w:spacing w:before="120" w:after="0" w:line="276" w:lineRule="auto"/>
        <w:ind w:left="284" w:hanging="284"/>
        <w:jc w:val="both"/>
        <w:rPr>
          <w:rFonts w:ascii="Cambria" w:hAnsi="Cambria"/>
          <w:color w:val="000000" w:themeColor="text1"/>
        </w:rPr>
      </w:pPr>
      <w:r w:rsidRPr="008D2C45">
        <w:rPr>
          <w:rFonts w:ascii="Cambria" w:hAnsi="Cambria"/>
          <w:color w:val="000000" w:themeColor="text1"/>
        </w:rPr>
        <w:t xml:space="preserve">Επιχειρήσεις που δραστηριοποιούνται στους τομείς της </w:t>
      </w:r>
      <w:r w:rsidRPr="008D2C45">
        <w:rPr>
          <w:rFonts w:ascii="Cambria" w:hAnsi="Cambria"/>
          <w:b/>
          <w:bCs/>
          <w:color w:val="000000" w:themeColor="text1"/>
        </w:rPr>
        <w:t xml:space="preserve">αλιείας </w:t>
      </w:r>
      <w:r w:rsidRPr="008D2C45">
        <w:rPr>
          <w:rFonts w:ascii="Cambria" w:hAnsi="Cambria"/>
          <w:color w:val="000000" w:themeColor="text1"/>
        </w:rPr>
        <w:t xml:space="preserve">και της </w:t>
      </w:r>
      <w:r w:rsidRPr="008D2C45">
        <w:rPr>
          <w:rFonts w:ascii="Cambria" w:hAnsi="Cambria"/>
          <w:b/>
          <w:bCs/>
          <w:color w:val="000000" w:themeColor="text1"/>
        </w:rPr>
        <w:t>εμπορίας αλιευμάτων</w:t>
      </w:r>
      <w:r w:rsidRPr="008D2C45">
        <w:rPr>
          <w:rFonts w:ascii="Cambria" w:hAnsi="Cambria"/>
          <w:color w:val="000000" w:themeColor="text1"/>
        </w:rPr>
        <w:t xml:space="preserve"> σε περιοχές που επλήγησαν λόγω των επιπτώσεων στο παραλιακό μέτωπο της Θεσσαλίας. </w:t>
      </w:r>
    </w:p>
    <w:p w14:paraId="24B8B9AF" w14:textId="77777777" w:rsidR="00AE025F" w:rsidRPr="008D2C45" w:rsidRDefault="00AE025F" w:rsidP="00AE025F">
      <w:pPr>
        <w:spacing w:before="120" w:line="276" w:lineRule="auto"/>
        <w:jc w:val="both"/>
        <w:rPr>
          <w:rFonts w:ascii="Cambria" w:hAnsi="Cambria"/>
          <w:color w:val="000000" w:themeColor="text1"/>
        </w:rPr>
      </w:pPr>
      <w:r w:rsidRPr="008D2C45">
        <w:rPr>
          <w:rFonts w:ascii="Cambria" w:hAnsi="Cambria"/>
          <w:color w:val="000000" w:themeColor="text1"/>
        </w:rPr>
        <w:t xml:space="preserve">Η πρώτη πληρωμή δικαιούχων πραγματοποιήθηκε στις 19 Σεπτεμβρίου 2024 </w:t>
      </w:r>
      <w:r w:rsidRPr="008D2C45">
        <w:rPr>
          <w:rFonts w:ascii="Cambria" w:eastAsia="Calibri" w:hAnsi="Cambria" w:cs="Calibri"/>
          <w:color w:val="202122"/>
        </w:rPr>
        <w:t xml:space="preserve">– </w:t>
      </w:r>
      <w:r w:rsidRPr="008D2C45">
        <w:rPr>
          <w:rFonts w:ascii="Cambria" w:hAnsi="Cambria"/>
          <w:color w:val="000000" w:themeColor="text1"/>
        </w:rPr>
        <w:t xml:space="preserve">ενώ η πλατφόρμα «myBusinessSupport» παρέμενε ακόμα ανοικτή </w:t>
      </w:r>
      <w:r w:rsidRPr="008D2C45">
        <w:rPr>
          <w:rFonts w:ascii="Cambria" w:eastAsia="Calibri" w:hAnsi="Cambria" w:cs="Calibri"/>
          <w:color w:val="202122"/>
        </w:rPr>
        <w:t>–</w:t>
      </w:r>
      <w:r w:rsidRPr="008D2C45">
        <w:rPr>
          <w:rFonts w:ascii="Cambria" w:hAnsi="Cambria"/>
          <w:color w:val="000000" w:themeColor="text1"/>
        </w:rPr>
        <w:t xml:space="preserve"> και η διαδικασία ολοκληρώθηκε την 1η Οκτωβρίου 2024, με την εκτέλεση δεύτερης πληρωμής. </w:t>
      </w:r>
    </w:p>
    <w:p w14:paraId="5DB83B39" w14:textId="77777777" w:rsidR="00AE025F" w:rsidRPr="008D2C45" w:rsidRDefault="00AE025F" w:rsidP="00AE025F">
      <w:pPr>
        <w:spacing w:before="120" w:line="276" w:lineRule="auto"/>
        <w:jc w:val="both"/>
        <w:rPr>
          <w:rFonts w:ascii="Cambria" w:hAnsi="Cambria"/>
          <w:b/>
          <w:bCs/>
          <w:color w:val="000000" w:themeColor="text1"/>
        </w:rPr>
      </w:pPr>
      <w:r w:rsidRPr="008D2C45">
        <w:rPr>
          <w:rFonts w:ascii="Cambria" w:hAnsi="Cambria"/>
          <w:b/>
          <w:bCs/>
          <w:color w:val="000000" w:themeColor="text1"/>
        </w:rPr>
        <w:t>Συνολικά έχουν διατεθεί 12,8 εκατ. ευρώ σε 1.297 επιχειρήσεις.</w:t>
      </w:r>
    </w:p>
    <w:p w14:paraId="7FC4F2F0" w14:textId="77777777" w:rsidR="00AE025F" w:rsidRPr="008D2C45" w:rsidRDefault="00AE025F" w:rsidP="00AE025F">
      <w:pPr>
        <w:pStyle w:val="ListParagraph"/>
        <w:numPr>
          <w:ilvl w:val="0"/>
          <w:numId w:val="35"/>
        </w:numPr>
        <w:spacing w:before="120" w:after="0" w:line="276" w:lineRule="auto"/>
        <w:jc w:val="both"/>
        <w:rPr>
          <w:rFonts w:ascii="Cambria" w:hAnsi="Cambria"/>
          <w:b/>
          <w:bCs/>
          <w:color w:val="000000" w:themeColor="text1"/>
        </w:rPr>
      </w:pPr>
      <w:r w:rsidRPr="008D2C45">
        <w:rPr>
          <w:rFonts w:ascii="Cambria" w:hAnsi="Cambria"/>
          <w:b/>
          <w:bCs/>
          <w:color w:val="000000" w:themeColor="text1"/>
        </w:rPr>
        <w:t>Επιδότηση προσωρινής στέγασης με τη μορφή επιδότησης ενοικίου ή συγκατοίκησης</w:t>
      </w:r>
    </w:p>
    <w:p w14:paraId="41A8DD58" w14:textId="77777777" w:rsidR="00AE025F" w:rsidRPr="008D2C45" w:rsidRDefault="00AE025F" w:rsidP="00AE025F">
      <w:pPr>
        <w:spacing w:before="120" w:line="276" w:lineRule="auto"/>
        <w:jc w:val="both"/>
        <w:rPr>
          <w:rFonts w:ascii="Cambria" w:hAnsi="Cambria"/>
          <w:color w:val="000000" w:themeColor="text1"/>
        </w:rPr>
      </w:pPr>
      <w:r w:rsidRPr="008D2C45">
        <w:rPr>
          <w:rFonts w:ascii="Cambria" w:hAnsi="Cambria"/>
          <w:color w:val="000000" w:themeColor="text1"/>
        </w:rPr>
        <w:t>Η επιδότηση προσωρινής στέγασης χορηγείται για την προσωρινή κάλυψη των στεγαστικών αναγκών των πληγέντων και χορηγείται σε τρίμηνα, μετά από αίτηση των πληγέντων, με τα απαραίτητα δικαιολογητικά, για κάθε τρίμηνο.</w:t>
      </w:r>
    </w:p>
    <w:p w14:paraId="06405210" w14:textId="77777777" w:rsidR="00AE025F" w:rsidRPr="008D2C45" w:rsidRDefault="00AE025F" w:rsidP="00AE025F">
      <w:pPr>
        <w:spacing w:before="120" w:line="276" w:lineRule="auto"/>
        <w:jc w:val="both"/>
        <w:rPr>
          <w:rFonts w:ascii="Cambria" w:hAnsi="Cambria"/>
          <w:color w:val="000000" w:themeColor="text1"/>
        </w:rPr>
      </w:pPr>
      <w:r w:rsidRPr="008D2C45">
        <w:rPr>
          <w:rFonts w:ascii="Cambria" w:hAnsi="Cambria"/>
          <w:color w:val="000000" w:themeColor="text1"/>
        </w:rPr>
        <w:t xml:space="preserve">Το σχήμα της επιδότησης του ενοικίου ή της συγκατοίκησης, έχει ως εξής: </w:t>
      </w:r>
    </w:p>
    <w:p w14:paraId="6C98E229" w14:textId="77777777" w:rsidR="00AE025F" w:rsidRPr="008D2C45" w:rsidRDefault="00AE025F" w:rsidP="00AE025F">
      <w:pPr>
        <w:spacing w:before="120" w:line="276" w:lineRule="auto"/>
        <w:jc w:val="both"/>
        <w:rPr>
          <w:rFonts w:ascii="Cambria" w:hAnsi="Cambria"/>
          <w:color w:val="000000" w:themeColor="text1"/>
        </w:rPr>
      </w:pPr>
      <w:r w:rsidRPr="008D2C45">
        <w:rPr>
          <w:rFonts w:ascii="Cambria" w:hAnsi="Cambria"/>
          <w:color w:val="000000" w:themeColor="text1"/>
        </w:rPr>
        <w:t xml:space="preserve">(α) την προσωρινή στέγαση έως δύο (2) έτη για ιδιοκτήτες ή χρήστες κατά δωρεάν παραχώρησης κατοικιών σε περιπτώσεις κατοικιών ακατάλληλων προς χρήση («κίτρινα» </w:t>
      </w:r>
      <w:r w:rsidRPr="008D2C45">
        <w:rPr>
          <w:rFonts w:ascii="Cambria" w:hAnsi="Cambria"/>
          <w:color w:val="000000" w:themeColor="text1"/>
        </w:rPr>
        <w:lastRenderedPageBreak/>
        <w:t xml:space="preserve">και «κόκκινα») με τη δυνατότητα καταβολής τεσσάρων (4) τριμήνων με τη διαδικασία της εμπροσθοβαρούς επιδότησης για όσους έχουν κριθεί δικαιούχοι για το 1ο τρίμηνο [συνολικά των πέντε (5) πρώτων τριμήνων], και </w:t>
      </w:r>
    </w:p>
    <w:p w14:paraId="4029417F" w14:textId="77777777" w:rsidR="00AE025F" w:rsidRPr="008D2C45" w:rsidRDefault="00AE025F" w:rsidP="00AE025F">
      <w:pPr>
        <w:spacing w:before="120" w:line="276" w:lineRule="auto"/>
        <w:jc w:val="both"/>
        <w:rPr>
          <w:rFonts w:ascii="Cambria" w:hAnsi="Cambria"/>
          <w:color w:val="000000" w:themeColor="text1"/>
        </w:rPr>
      </w:pPr>
      <w:r w:rsidRPr="008D2C45">
        <w:rPr>
          <w:rFonts w:ascii="Cambria" w:hAnsi="Cambria"/>
          <w:color w:val="000000" w:themeColor="text1"/>
        </w:rPr>
        <w:t>(β) την προσωρινή στέγαση για δώδεκα (12) μήνες για ιδιοκτήτες ή χρήστες κατά δωρεάν παραχώρησης κατοικιών (εκδόθηκε απόφαση με την οποία παρατείνεται η χορήγηση επιδότησης προσωρινής στέγασης από 6 σε 12 μήνες) σε περιπτώσεις αδυναμίας χρήσης των κατοικιών λόγω του πρωτοφανούς πλημμυρικού φαινομένου, για τους πληγέντες που τα κτήριά τους εντάχθηκαν στην κατηγορία Γ, και με τη δυνατότητα καταβολής και των τριών (3) υπολοιπόμενων τριμήνων με τη διαδικασία της εμπροσθοβαρούς επιδότησης για όσους έχουν κριθεί δικαιούχοι για το 1ο τρίμηνο [συνολικά και των τεσσάρων (4) τριμήνων].</w:t>
      </w:r>
    </w:p>
    <w:p w14:paraId="09C26FB2" w14:textId="77777777" w:rsidR="00AE025F" w:rsidRPr="008D2C45" w:rsidRDefault="00AE025F" w:rsidP="00AE025F">
      <w:pPr>
        <w:spacing w:before="120" w:line="276" w:lineRule="auto"/>
        <w:jc w:val="both"/>
        <w:rPr>
          <w:rFonts w:ascii="Cambria" w:hAnsi="Cambria"/>
          <w:b/>
          <w:bCs/>
          <w:color w:val="000000" w:themeColor="text1"/>
        </w:rPr>
      </w:pPr>
      <w:r w:rsidRPr="008D2C45">
        <w:rPr>
          <w:rFonts w:ascii="Cambria" w:hAnsi="Cambria"/>
          <w:b/>
          <w:bCs/>
          <w:color w:val="000000" w:themeColor="text1"/>
        </w:rPr>
        <w:t>Συνολικά, το ποσό που έχει καταβληθεί για την επιδότηση ενοικίου / συγκατοίκησης ανέρχεται σε 5,56 εκατ. Ευρώ.</w:t>
      </w:r>
    </w:p>
    <w:p w14:paraId="0343A8E1" w14:textId="77777777" w:rsidR="00AE025F" w:rsidRPr="008D2C45" w:rsidRDefault="00AE025F" w:rsidP="00AE025F">
      <w:pPr>
        <w:pStyle w:val="ListParagraph"/>
        <w:numPr>
          <w:ilvl w:val="0"/>
          <w:numId w:val="35"/>
        </w:numPr>
        <w:spacing w:before="120" w:after="0" w:line="276" w:lineRule="auto"/>
        <w:jc w:val="both"/>
        <w:rPr>
          <w:rFonts w:ascii="Cambria" w:hAnsi="Cambria"/>
          <w:b/>
          <w:bCs/>
          <w:color w:val="000000" w:themeColor="text1"/>
        </w:rPr>
      </w:pPr>
      <w:r w:rsidRPr="008D2C45">
        <w:rPr>
          <w:rFonts w:ascii="Cambria" w:hAnsi="Cambria"/>
          <w:b/>
          <w:bCs/>
          <w:color w:val="000000" w:themeColor="text1"/>
        </w:rPr>
        <w:t>Στεγαστική συνδρομή</w:t>
      </w:r>
    </w:p>
    <w:p w14:paraId="55B26F77" w14:textId="77777777" w:rsidR="00AE025F" w:rsidRPr="008D2C45" w:rsidRDefault="00AE025F" w:rsidP="00AE025F">
      <w:pPr>
        <w:pStyle w:val="ListParagraph"/>
        <w:numPr>
          <w:ilvl w:val="0"/>
          <w:numId w:val="36"/>
        </w:numPr>
        <w:spacing w:before="120" w:after="0" w:line="276" w:lineRule="auto"/>
        <w:jc w:val="both"/>
        <w:rPr>
          <w:rFonts w:ascii="Cambria" w:hAnsi="Cambria"/>
          <w:b/>
          <w:bCs/>
          <w:color w:val="000000" w:themeColor="text1"/>
        </w:rPr>
      </w:pPr>
      <w:r w:rsidRPr="008D2C45">
        <w:rPr>
          <w:rFonts w:ascii="Cambria" w:hAnsi="Cambria"/>
          <w:b/>
          <w:bCs/>
          <w:color w:val="000000" w:themeColor="text1"/>
        </w:rPr>
        <w:t>Επισκευή</w:t>
      </w:r>
    </w:p>
    <w:p w14:paraId="396B1D1F" w14:textId="77777777" w:rsidR="00AE025F" w:rsidRPr="008D2C45" w:rsidRDefault="00AE025F" w:rsidP="00AE025F">
      <w:pPr>
        <w:spacing w:line="276" w:lineRule="auto"/>
        <w:jc w:val="both"/>
        <w:rPr>
          <w:rFonts w:ascii="Cambria" w:hAnsi="Cambria"/>
          <w:color w:val="000000" w:themeColor="text1"/>
        </w:rPr>
      </w:pPr>
      <w:r w:rsidRPr="008D2C45">
        <w:rPr>
          <w:rFonts w:ascii="Cambria" w:hAnsi="Cambria"/>
          <w:color w:val="000000" w:themeColor="text1"/>
        </w:rPr>
        <w:t>Για την επισκευή των κτιρίων που επλήγησαν από τις πλημμύρες αξιοποιήθηκε η δυνατότητα καταβολής αποζημίωσης με την έκδοση άδειας «με εφάπαξ τιμή / τ.μ.». Το τιμολόγιο που χρησιμοποιήθηκε για κατοικίες και βοηθητικούς χώρους κατοικίας  είναι το ακόλουθο:</w:t>
      </w:r>
    </w:p>
    <w:p w14:paraId="5D490687" w14:textId="77777777" w:rsidR="00AE025F" w:rsidRPr="008D2C45" w:rsidRDefault="00AE025F" w:rsidP="00AE025F">
      <w:pPr>
        <w:pStyle w:val="ListParagraph"/>
        <w:numPr>
          <w:ilvl w:val="0"/>
          <w:numId w:val="37"/>
        </w:numPr>
        <w:spacing w:after="0" w:line="276" w:lineRule="auto"/>
        <w:jc w:val="both"/>
        <w:rPr>
          <w:rFonts w:ascii="Cambria" w:hAnsi="Cambria"/>
          <w:color w:val="000000" w:themeColor="text1"/>
        </w:rPr>
      </w:pPr>
      <w:r w:rsidRPr="008D2C45">
        <w:rPr>
          <w:rFonts w:ascii="Cambria" w:hAnsi="Cambria"/>
          <w:color w:val="000000" w:themeColor="text1"/>
        </w:rPr>
        <w:t>60 € ανά τ.μ. για ύψος στάθμης νερού έως και 40 εκ. (όπως έχει καταγραφεί από αυτοψίες της Γ.Δ.Α.Ε.Φ.Κ.),</w:t>
      </w:r>
    </w:p>
    <w:p w14:paraId="558C41D5" w14:textId="77777777" w:rsidR="00AE025F" w:rsidRPr="008D2C45" w:rsidRDefault="00AE025F" w:rsidP="00AE025F">
      <w:pPr>
        <w:pStyle w:val="ListParagraph"/>
        <w:numPr>
          <w:ilvl w:val="0"/>
          <w:numId w:val="37"/>
        </w:numPr>
        <w:spacing w:after="0" w:line="276" w:lineRule="auto"/>
        <w:jc w:val="both"/>
        <w:rPr>
          <w:rFonts w:ascii="Cambria" w:hAnsi="Cambria"/>
          <w:color w:val="000000" w:themeColor="text1"/>
        </w:rPr>
      </w:pPr>
      <w:r w:rsidRPr="008D2C45">
        <w:rPr>
          <w:rFonts w:ascii="Cambria" w:hAnsi="Cambria"/>
          <w:color w:val="000000" w:themeColor="text1"/>
        </w:rPr>
        <w:t>100 € ανά τ.μ. για ύψος στάθμης νερού από 41 εκ. έως και 99 εκ. (όπως έχει καταγραφεί από αυτοψίες της Γ.Δ.Α.Ε.Φ.Κ.),</w:t>
      </w:r>
    </w:p>
    <w:p w14:paraId="00C66B97" w14:textId="77777777" w:rsidR="00AE025F" w:rsidRPr="008D2C45" w:rsidRDefault="00AE025F" w:rsidP="00AE025F">
      <w:pPr>
        <w:pStyle w:val="ListParagraph"/>
        <w:numPr>
          <w:ilvl w:val="0"/>
          <w:numId w:val="37"/>
        </w:numPr>
        <w:spacing w:after="0" w:line="276" w:lineRule="auto"/>
        <w:jc w:val="both"/>
        <w:rPr>
          <w:rFonts w:ascii="Cambria" w:hAnsi="Cambria"/>
          <w:color w:val="000000" w:themeColor="text1"/>
        </w:rPr>
      </w:pPr>
      <w:r w:rsidRPr="008D2C45">
        <w:rPr>
          <w:rFonts w:ascii="Cambria" w:hAnsi="Cambria"/>
          <w:color w:val="000000" w:themeColor="text1"/>
        </w:rPr>
        <w:t>125 € ανά τ.μ. για ύψος στάθμης νερού από 1μ έως και 1,99 εκ (όπως έχει καταγραφεί από αυτοψίες της Γ.Δ.Α.Ε.Φ.Κ.),</w:t>
      </w:r>
    </w:p>
    <w:p w14:paraId="571A1FD9" w14:textId="77777777" w:rsidR="00AE025F" w:rsidRPr="008D2C45" w:rsidRDefault="00AE025F" w:rsidP="00AE025F">
      <w:pPr>
        <w:pStyle w:val="ListParagraph"/>
        <w:numPr>
          <w:ilvl w:val="0"/>
          <w:numId w:val="37"/>
        </w:numPr>
        <w:spacing w:after="0" w:line="276" w:lineRule="auto"/>
        <w:jc w:val="both"/>
        <w:rPr>
          <w:rFonts w:ascii="Cambria" w:hAnsi="Cambria"/>
          <w:color w:val="000000" w:themeColor="text1"/>
        </w:rPr>
      </w:pPr>
      <w:r w:rsidRPr="008D2C45">
        <w:rPr>
          <w:rFonts w:ascii="Cambria" w:hAnsi="Cambria"/>
          <w:color w:val="000000" w:themeColor="text1"/>
        </w:rPr>
        <w:t>150 € ανά τ.μ. για ύψος στάθμης νερού από 2μ έως και πάνω (όπως έχει καταγραφεί από αυτοψίες της Γ.Δ.Α.Ε.Φ.Κ.),</w:t>
      </w:r>
    </w:p>
    <w:p w14:paraId="2044B72E" w14:textId="77777777" w:rsidR="00AE025F" w:rsidRPr="008D2C45" w:rsidRDefault="00AE025F" w:rsidP="00AE025F">
      <w:pPr>
        <w:pStyle w:val="ListParagraph"/>
        <w:numPr>
          <w:ilvl w:val="0"/>
          <w:numId w:val="37"/>
        </w:numPr>
        <w:spacing w:after="0" w:line="276" w:lineRule="auto"/>
        <w:jc w:val="both"/>
        <w:rPr>
          <w:rFonts w:ascii="Cambria" w:hAnsi="Cambria"/>
          <w:color w:val="000000" w:themeColor="text1"/>
        </w:rPr>
      </w:pPr>
      <w:r w:rsidRPr="008D2C45">
        <w:rPr>
          <w:rFonts w:ascii="Cambria" w:hAnsi="Cambria"/>
          <w:color w:val="000000" w:themeColor="text1"/>
        </w:rPr>
        <w:t>150 € ανά τ.μ., για όσες έχουν χαρακτηριστεί από μηχανικούς της Γ.Δ.Α.Ε.Φ.Κ. ως προσωρινά ακατάλληλες για χρήση «ΚΙΤΡΙΝΟ» σύμφωνα με το δελτίο επανελέγχου, λόγω των εκτεταμένων βλαβών σε μη φέροντα στοιχεία από την πλημμύρα (ολική καταστροφή κουφωμάτων, Η/Μ κ.λπ.), με την προϋπόθεση υποβολής από τον ιδιοκτήτη βεβαίωσης μηχανικού περί μη διαπίστωσης βλαβών στον φέροντα οργανισμό του κτηρίου.</w:t>
      </w:r>
    </w:p>
    <w:p w14:paraId="07341B82" w14:textId="77777777" w:rsidR="00AE025F" w:rsidRPr="008D2C45" w:rsidRDefault="00AE025F" w:rsidP="00AE025F">
      <w:pPr>
        <w:spacing w:before="120" w:line="276" w:lineRule="auto"/>
        <w:jc w:val="both"/>
        <w:rPr>
          <w:rFonts w:ascii="Cambria" w:hAnsi="Cambria"/>
          <w:b/>
          <w:bCs/>
          <w:color w:val="000000" w:themeColor="text1"/>
        </w:rPr>
      </w:pPr>
      <w:r w:rsidRPr="008D2C45">
        <w:rPr>
          <w:rFonts w:ascii="Cambria" w:hAnsi="Cambria"/>
          <w:b/>
          <w:bCs/>
          <w:color w:val="000000" w:themeColor="text1"/>
        </w:rPr>
        <w:t xml:space="preserve">Έως σήμερα έχουν κατατεθεί 11.605 αιτήσεις για επισκευή και έχουν εκδοθεί 2.805 άδειες επισκευής, με συνολικό ποσό Δωρεάν Κρατικής Αρωγής 20 εκ. €. Οι άδειες αυτές αντιστοιχούν σε 5.715 αιτήσεις. Οι υπόλοιπες 5.890 αιτήσεις έχουν εξεταστεί </w:t>
      </w:r>
      <w:r w:rsidRPr="008D2C45">
        <w:rPr>
          <w:rFonts w:ascii="Cambria" w:hAnsi="Cambria"/>
          <w:b/>
          <w:bCs/>
          <w:color w:val="000000" w:themeColor="text1"/>
        </w:rPr>
        <w:lastRenderedPageBreak/>
        <w:t>στο σύνολό τους και έχουν αποσταλεί στους αιτούντες δελτία ελλείψεων για προσκόμιση συμπληρωματικών στοιχείων.</w:t>
      </w:r>
    </w:p>
    <w:p w14:paraId="750FFBC0" w14:textId="77777777" w:rsidR="00AE025F" w:rsidRPr="008D2C45" w:rsidRDefault="00AE025F" w:rsidP="00AE025F">
      <w:pPr>
        <w:pStyle w:val="ListParagraph"/>
        <w:numPr>
          <w:ilvl w:val="0"/>
          <w:numId w:val="36"/>
        </w:numPr>
        <w:spacing w:before="120" w:after="0" w:line="276" w:lineRule="auto"/>
        <w:jc w:val="both"/>
        <w:rPr>
          <w:rFonts w:ascii="Cambria" w:hAnsi="Cambria"/>
          <w:b/>
          <w:bCs/>
          <w:color w:val="000000" w:themeColor="text1"/>
        </w:rPr>
      </w:pPr>
      <w:r w:rsidRPr="008D2C45">
        <w:rPr>
          <w:rFonts w:ascii="Cambria" w:hAnsi="Cambria"/>
          <w:b/>
          <w:bCs/>
          <w:color w:val="000000" w:themeColor="text1"/>
        </w:rPr>
        <w:t>Ανακατασκευή - Αυτοστέγαση</w:t>
      </w:r>
    </w:p>
    <w:p w14:paraId="0139F76E" w14:textId="77777777" w:rsidR="00AE025F" w:rsidRPr="008D2C45" w:rsidRDefault="00AE025F" w:rsidP="00AE025F">
      <w:pPr>
        <w:spacing w:before="120" w:line="276" w:lineRule="auto"/>
        <w:jc w:val="both"/>
        <w:rPr>
          <w:rFonts w:ascii="Cambria" w:hAnsi="Cambria"/>
          <w:color w:val="000000" w:themeColor="text1"/>
        </w:rPr>
      </w:pPr>
      <w:r w:rsidRPr="008D2C45">
        <w:rPr>
          <w:rFonts w:ascii="Cambria" w:hAnsi="Cambria"/>
          <w:color w:val="000000" w:themeColor="text1"/>
        </w:rPr>
        <w:t>Έχουν κατατεθεί 713 αιτήσεις για ανακατασκευή και έχουν εκδοθεί 242 Βεβαιώσεις Καθορισμού Δικαιούχου, οι οποίες αντιστοιχούν σε 257 αιτήσεις. Οι 436 αιτήσεις παραμένουν σε εκκρεμότητα, αφού έχει ζητηθεί η προσκόμιση των απαιτούμενων δικαιολογητικών. Οκτώ (8) αιτήσεις έχουν ακυρωθεί με αίτηση των ενδιαφερομένων. Στο στάδιο αυτό δεν χορηγείται κάποιο ποσό, ενώ ακολουθεί η έκδοση άδειας από τον ενδιαφερόμενο και η κατάθεσή της στη ΓΔΑΕΦΚ, προκειμένου να εκταμιευθεί το 50% του δικαιούμενου ποσού.</w:t>
      </w:r>
    </w:p>
    <w:p w14:paraId="27D5E20C" w14:textId="77777777" w:rsidR="00AE025F" w:rsidRPr="008D2C45" w:rsidRDefault="00AE025F" w:rsidP="00AE025F">
      <w:pPr>
        <w:jc w:val="both"/>
        <w:rPr>
          <w:rFonts w:ascii="Cambria" w:hAnsi="Cambria"/>
          <w:b/>
          <w:bCs/>
          <w:color w:val="000000" w:themeColor="text1"/>
        </w:rPr>
      </w:pPr>
      <w:r w:rsidRPr="008D2C45">
        <w:rPr>
          <w:rFonts w:ascii="Cambria" w:hAnsi="Cambria"/>
          <w:b/>
          <w:bCs/>
          <w:color w:val="000000" w:themeColor="text1"/>
        </w:rPr>
        <w:t>Συνολικό ποσό (Βεβαιωμένης) Στεγαστικής Συνδρομής για Ανακατασκευή-Αυτοστέγαση (</w:t>
      </w:r>
      <w:r w:rsidRPr="008D2C45">
        <w:rPr>
          <w:rFonts w:ascii="Cambria" w:hAnsi="Cambria"/>
          <w:color w:val="000000" w:themeColor="text1"/>
        </w:rPr>
        <w:t>θα καταβληθεί σε 3 δόσεις, έπειτα από την έκδοση των απαιτούμενων αδειών ανακατασκευής</w:t>
      </w:r>
      <w:r w:rsidRPr="008D2C45">
        <w:rPr>
          <w:rFonts w:ascii="Cambria" w:hAnsi="Cambria"/>
          <w:b/>
          <w:bCs/>
          <w:color w:val="000000" w:themeColor="text1"/>
        </w:rPr>
        <w:t xml:space="preserve">) : 21,4 εκατ. ευρώ. </w:t>
      </w:r>
    </w:p>
    <w:p w14:paraId="534DAAD8" w14:textId="77777777" w:rsidR="00AE025F" w:rsidRPr="008D2C45" w:rsidRDefault="00AE025F" w:rsidP="00AE025F">
      <w:pPr>
        <w:pStyle w:val="ListParagraph"/>
        <w:numPr>
          <w:ilvl w:val="0"/>
          <w:numId w:val="35"/>
        </w:numPr>
        <w:spacing w:before="120" w:after="0" w:line="276" w:lineRule="auto"/>
        <w:jc w:val="both"/>
        <w:rPr>
          <w:rFonts w:ascii="Cambria" w:hAnsi="Cambria"/>
          <w:b/>
          <w:bCs/>
          <w:color w:val="000000" w:themeColor="text1"/>
        </w:rPr>
      </w:pPr>
      <w:r w:rsidRPr="008D2C45">
        <w:rPr>
          <w:rFonts w:ascii="Cambria" w:hAnsi="Cambria"/>
          <w:b/>
          <w:bCs/>
          <w:color w:val="000000" w:themeColor="text1"/>
        </w:rPr>
        <w:t xml:space="preserve">Παραχώρηση Οικίσκων </w:t>
      </w:r>
    </w:p>
    <w:p w14:paraId="65A0068E" w14:textId="77777777" w:rsidR="00AE025F" w:rsidRPr="008D2C45" w:rsidRDefault="00AE025F" w:rsidP="00AE025F">
      <w:pPr>
        <w:spacing w:before="120" w:line="276" w:lineRule="auto"/>
        <w:jc w:val="both"/>
        <w:rPr>
          <w:rFonts w:ascii="Cambria" w:hAnsi="Cambria"/>
          <w:b/>
          <w:bCs/>
          <w:color w:val="000000" w:themeColor="text1"/>
        </w:rPr>
      </w:pPr>
      <w:r w:rsidRPr="008D2C45">
        <w:rPr>
          <w:rFonts w:ascii="Cambria" w:hAnsi="Cambria"/>
          <w:b/>
          <w:bCs/>
          <w:color w:val="000000" w:themeColor="text1"/>
        </w:rPr>
        <w:t>Για την προσωρινή στέγαση πληγέντων έχουν επίσης έως τώρα παραχωρηθεί στους αιτούντες Δήμους της Περιφέρειας Θεσσαλίας 131 οικίσκοι. Το συνολικό κόστος των οικίσκων αντιστοιχεί σε1,67 εκατ. Ευρώ.</w:t>
      </w:r>
    </w:p>
    <w:p w14:paraId="47287543" w14:textId="77777777" w:rsidR="00AE025F" w:rsidRPr="008D2C45" w:rsidRDefault="00AE025F" w:rsidP="00AE025F">
      <w:pPr>
        <w:pStyle w:val="ListParagraph"/>
        <w:spacing w:before="120" w:line="276" w:lineRule="auto"/>
        <w:ind w:left="0"/>
        <w:rPr>
          <w:rFonts w:ascii="Cambria" w:hAnsi="Cambria"/>
          <w:highlight w:val="yellow"/>
        </w:rPr>
      </w:pPr>
    </w:p>
    <w:tbl>
      <w:tblPr>
        <w:tblW w:w="7575"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128"/>
        <w:gridCol w:w="1947"/>
        <w:gridCol w:w="1500"/>
      </w:tblGrid>
      <w:tr w:rsidR="00AE025F" w:rsidRPr="008D2C45" w14:paraId="5FA09AC5" w14:textId="77777777" w:rsidTr="00AE025F">
        <w:trPr>
          <w:trHeight w:val="300"/>
          <w:jc w:val="center"/>
        </w:trPr>
        <w:tc>
          <w:tcPr>
            <w:tcW w:w="4380" w:type="dxa"/>
            <w:tcBorders>
              <w:top w:val="single" w:sz="6" w:space="0" w:color="auto"/>
              <w:left w:val="single" w:sz="6" w:space="0" w:color="auto"/>
              <w:bottom w:val="single" w:sz="6" w:space="0" w:color="auto"/>
              <w:right w:val="single" w:sz="6" w:space="0" w:color="auto"/>
            </w:tcBorders>
            <w:shd w:val="clear" w:color="auto" w:fill="D0CECE"/>
            <w:vAlign w:val="center"/>
          </w:tcPr>
          <w:p w14:paraId="762778F5" w14:textId="77777777" w:rsidR="00AE025F" w:rsidRPr="008D2C45" w:rsidRDefault="00AE025F" w:rsidP="002F213D">
            <w:pPr>
              <w:pStyle w:val="paragraph"/>
              <w:spacing w:before="0" w:beforeAutospacing="0" w:after="0" w:afterAutospacing="0"/>
              <w:jc w:val="center"/>
              <w:rPr>
                <w:rFonts w:ascii="Cambria" w:hAnsi="Cambria" w:cs="Segoe UI"/>
              </w:rPr>
            </w:pPr>
            <w:r w:rsidRPr="008D2C45">
              <w:rPr>
                <w:rStyle w:val="normaltextrun"/>
                <w:rFonts w:ascii="Cambria" w:hAnsi="Cambria" w:cs="Calibri"/>
                <w:b/>
                <w:bCs/>
                <w:color w:val="000000" w:themeColor="text1"/>
              </w:rPr>
              <w:t>Είδος ενίσχυσης Daniel</w:t>
            </w:r>
            <w:r w:rsidRPr="008D2C45">
              <w:rPr>
                <w:rStyle w:val="eop"/>
                <w:rFonts w:ascii="Cambria" w:hAnsi="Cambria" w:cs="Calibri"/>
                <w:color w:val="000000" w:themeColor="text1"/>
              </w:rPr>
              <w:t> </w:t>
            </w:r>
          </w:p>
        </w:tc>
        <w:tc>
          <w:tcPr>
            <w:tcW w:w="1695" w:type="dxa"/>
            <w:tcBorders>
              <w:top w:val="single" w:sz="6" w:space="0" w:color="auto"/>
              <w:left w:val="nil"/>
              <w:bottom w:val="single" w:sz="6" w:space="0" w:color="auto"/>
              <w:right w:val="single" w:sz="6" w:space="0" w:color="auto"/>
            </w:tcBorders>
            <w:shd w:val="clear" w:color="auto" w:fill="D0CECE"/>
            <w:vAlign w:val="center"/>
          </w:tcPr>
          <w:p w14:paraId="6358453D" w14:textId="77777777" w:rsidR="00AE025F" w:rsidRPr="008D2C45" w:rsidRDefault="00AE025F" w:rsidP="002F213D">
            <w:pPr>
              <w:pStyle w:val="paragraph"/>
              <w:spacing w:before="0" w:beforeAutospacing="0" w:after="0" w:afterAutospacing="0"/>
              <w:jc w:val="center"/>
              <w:rPr>
                <w:rFonts w:ascii="Cambria" w:hAnsi="Cambria" w:cs="Segoe UI"/>
              </w:rPr>
            </w:pPr>
            <w:r w:rsidRPr="008D2C45">
              <w:rPr>
                <w:rStyle w:val="normaltextrun"/>
                <w:rFonts w:ascii="Cambria" w:hAnsi="Cambria" w:cs="Calibri"/>
                <w:b/>
                <w:bCs/>
                <w:color w:val="000000" w:themeColor="text1"/>
              </w:rPr>
              <w:t>Ποσό </w:t>
            </w:r>
            <w:r w:rsidRPr="008D2C45">
              <w:rPr>
                <w:rStyle w:val="eop"/>
                <w:rFonts w:ascii="Cambria" w:hAnsi="Cambria" w:cs="Calibri"/>
                <w:color w:val="000000" w:themeColor="text1"/>
              </w:rPr>
              <w:t> </w:t>
            </w:r>
          </w:p>
        </w:tc>
        <w:tc>
          <w:tcPr>
            <w:tcW w:w="1500" w:type="dxa"/>
            <w:tcBorders>
              <w:top w:val="single" w:sz="6" w:space="0" w:color="auto"/>
              <w:left w:val="nil"/>
              <w:bottom w:val="single" w:sz="6" w:space="0" w:color="auto"/>
              <w:right w:val="single" w:sz="6" w:space="0" w:color="auto"/>
            </w:tcBorders>
            <w:shd w:val="clear" w:color="auto" w:fill="D0CECE"/>
            <w:vAlign w:val="center"/>
          </w:tcPr>
          <w:p w14:paraId="4C652747" w14:textId="77777777" w:rsidR="00AE025F" w:rsidRPr="008D2C45" w:rsidRDefault="00AE025F" w:rsidP="002F213D">
            <w:pPr>
              <w:pStyle w:val="paragraph"/>
              <w:spacing w:before="0" w:beforeAutospacing="0" w:after="0" w:afterAutospacing="0"/>
              <w:jc w:val="center"/>
              <w:rPr>
                <w:rFonts w:ascii="Cambria" w:hAnsi="Cambria" w:cs="Segoe UI"/>
              </w:rPr>
            </w:pPr>
            <w:r w:rsidRPr="008D2C45">
              <w:rPr>
                <w:rStyle w:val="normaltextrun"/>
                <w:rFonts w:ascii="Cambria" w:hAnsi="Cambria" w:cs="Calibri"/>
                <w:b/>
                <w:bCs/>
                <w:color w:val="000000" w:themeColor="text1"/>
              </w:rPr>
              <w:t>Δικαιούχοι</w:t>
            </w:r>
            <w:r w:rsidRPr="008D2C45">
              <w:rPr>
                <w:rStyle w:val="eop"/>
                <w:rFonts w:ascii="Cambria" w:hAnsi="Cambria" w:cs="Calibri"/>
                <w:color w:val="000000" w:themeColor="text1"/>
              </w:rPr>
              <w:t> </w:t>
            </w:r>
          </w:p>
        </w:tc>
      </w:tr>
      <w:tr w:rsidR="00AE025F" w:rsidRPr="008D2C45" w14:paraId="215B85B2" w14:textId="77777777" w:rsidTr="00AE025F">
        <w:trPr>
          <w:trHeight w:val="300"/>
          <w:jc w:val="center"/>
        </w:trPr>
        <w:tc>
          <w:tcPr>
            <w:tcW w:w="4380" w:type="dxa"/>
            <w:tcBorders>
              <w:top w:val="nil"/>
              <w:left w:val="single" w:sz="6" w:space="0" w:color="auto"/>
              <w:bottom w:val="single" w:sz="6" w:space="0" w:color="auto"/>
              <w:right w:val="single" w:sz="6" w:space="0" w:color="auto"/>
            </w:tcBorders>
            <w:vAlign w:val="center"/>
          </w:tcPr>
          <w:p w14:paraId="2F5E5873" w14:textId="77777777" w:rsidR="00AE025F" w:rsidRPr="008D2C45" w:rsidRDefault="00AE025F" w:rsidP="002F213D">
            <w:pPr>
              <w:pStyle w:val="paragraph"/>
              <w:spacing w:before="0" w:beforeAutospacing="0" w:after="0" w:afterAutospacing="0"/>
              <w:rPr>
                <w:rFonts w:ascii="Cambria" w:hAnsi="Cambria" w:cs="Segoe UI"/>
              </w:rPr>
            </w:pPr>
            <w:r w:rsidRPr="008D2C45">
              <w:rPr>
                <w:rStyle w:val="normaltextrun"/>
                <w:rFonts w:ascii="Cambria" w:hAnsi="Cambria" w:cs="Calibri"/>
                <w:b/>
                <w:bCs/>
                <w:color w:val="000000" w:themeColor="text1"/>
              </w:rPr>
              <w:t>Πρώτη Αρωγή</w:t>
            </w:r>
            <w:r w:rsidRPr="008D2C45">
              <w:rPr>
                <w:rStyle w:val="eop"/>
                <w:rFonts w:ascii="Cambria" w:hAnsi="Cambria" w:cs="Calibri"/>
                <w:color w:val="000000" w:themeColor="text1"/>
              </w:rPr>
              <w:t> </w:t>
            </w:r>
          </w:p>
        </w:tc>
        <w:tc>
          <w:tcPr>
            <w:tcW w:w="1695" w:type="dxa"/>
            <w:tcBorders>
              <w:top w:val="nil"/>
              <w:left w:val="nil"/>
              <w:bottom w:val="single" w:sz="6" w:space="0" w:color="auto"/>
              <w:right w:val="single" w:sz="6" w:space="0" w:color="auto"/>
            </w:tcBorders>
            <w:vAlign w:val="center"/>
          </w:tcPr>
          <w:p w14:paraId="5174084C" w14:textId="77777777" w:rsidR="00AE025F" w:rsidRPr="008D2C45" w:rsidRDefault="00AE025F" w:rsidP="002F213D">
            <w:pPr>
              <w:pStyle w:val="paragraph"/>
              <w:spacing w:before="0" w:beforeAutospacing="0" w:after="0" w:afterAutospacing="0"/>
              <w:jc w:val="right"/>
              <w:rPr>
                <w:rFonts w:ascii="Cambria" w:hAnsi="Cambria" w:cs="Segoe UI"/>
              </w:rPr>
            </w:pPr>
            <w:r w:rsidRPr="008D2C45">
              <w:rPr>
                <w:rStyle w:val="normaltextrun"/>
                <w:rFonts w:ascii="Cambria" w:hAnsi="Cambria" w:cs="Calibri"/>
                <w:b/>
                <w:bCs/>
                <w:color w:val="000000" w:themeColor="text1"/>
              </w:rPr>
              <w:t>184.159.923,84 €</w:t>
            </w:r>
          </w:p>
        </w:tc>
        <w:tc>
          <w:tcPr>
            <w:tcW w:w="1500" w:type="dxa"/>
            <w:tcBorders>
              <w:top w:val="nil"/>
              <w:left w:val="nil"/>
              <w:bottom w:val="single" w:sz="6" w:space="0" w:color="auto"/>
              <w:right w:val="single" w:sz="6" w:space="0" w:color="auto"/>
            </w:tcBorders>
            <w:vAlign w:val="center"/>
          </w:tcPr>
          <w:p w14:paraId="6B6F2140" w14:textId="77777777" w:rsidR="00AE025F" w:rsidRPr="008D2C45" w:rsidRDefault="00AE025F" w:rsidP="002F213D">
            <w:pPr>
              <w:pStyle w:val="paragraph"/>
              <w:spacing w:before="0" w:beforeAutospacing="0" w:after="0" w:afterAutospacing="0"/>
              <w:jc w:val="right"/>
              <w:rPr>
                <w:rFonts w:ascii="Cambria" w:hAnsi="Cambria" w:cs="Segoe UI"/>
              </w:rPr>
            </w:pPr>
            <w:r w:rsidRPr="008D2C45">
              <w:rPr>
                <w:rStyle w:val="normaltextrun"/>
                <w:rFonts w:ascii="Cambria" w:hAnsi="Cambria" w:cs="Calibri"/>
                <w:b/>
                <w:bCs/>
                <w:color w:val="000000" w:themeColor="text1"/>
              </w:rPr>
              <w:t>50.938</w:t>
            </w:r>
          </w:p>
        </w:tc>
      </w:tr>
      <w:tr w:rsidR="00AE025F" w:rsidRPr="008D2C45" w14:paraId="4A26121D" w14:textId="77777777" w:rsidTr="00AE025F">
        <w:trPr>
          <w:trHeight w:val="300"/>
          <w:jc w:val="center"/>
        </w:trPr>
        <w:tc>
          <w:tcPr>
            <w:tcW w:w="4380" w:type="dxa"/>
            <w:tcBorders>
              <w:top w:val="nil"/>
              <w:left w:val="single" w:sz="6" w:space="0" w:color="auto"/>
              <w:bottom w:val="single" w:sz="6" w:space="0" w:color="auto"/>
              <w:right w:val="single" w:sz="6" w:space="0" w:color="auto"/>
            </w:tcBorders>
            <w:vAlign w:val="center"/>
          </w:tcPr>
          <w:p w14:paraId="4F24B170" w14:textId="77777777" w:rsidR="00AE025F" w:rsidRPr="008D2C45" w:rsidRDefault="00AE025F" w:rsidP="002F213D">
            <w:pPr>
              <w:pStyle w:val="paragraph"/>
              <w:spacing w:before="0" w:beforeAutospacing="0" w:after="0" w:afterAutospacing="0"/>
              <w:rPr>
                <w:rFonts w:ascii="Cambria" w:hAnsi="Cambria" w:cs="Segoe UI"/>
              </w:rPr>
            </w:pPr>
            <w:r w:rsidRPr="008D2C45">
              <w:rPr>
                <w:rStyle w:val="normaltextrun"/>
                <w:rFonts w:ascii="Cambria" w:hAnsi="Cambria" w:cs="Calibri"/>
                <w:color w:val="000000" w:themeColor="text1"/>
              </w:rPr>
              <w:t>Οικοσκευή</w:t>
            </w:r>
            <w:r w:rsidRPr="008D2C45">
              <w:rPr>
                <w:rStyle w:val="eop"/>
                <w:rFonts w:ascii="Cambria" w:hAnsi="Cambria" w:cs="Calibri"/>
                <w:color w:val="000000" w:themeColor="text1"/>
              </w:rPr>
              <w:t> </w:t>
            </w:r>
          </w:p>
        </w:tc>
        <w:tc>
          <w:tcPr>
            <w:tcW w:w="1695" w:type="dxa"/>
            <w:tcBorders>
              <w:top w:val="nil"/>
              <w:left w:val="nil"/>
              <w:bottom w:val="single" w:sz="6" w:space="0" w:color="auto"/>
              <w:right w:val="single" w:sz="6" w:space="0" w:color="auto"/>
            </w:tcBorders>
            <w:vAlign w:val="center"/>
          </w:tcPr>
          <w:p w14:paraId="4DB8033B" w14:textId="77777777" w:rsidR="00AE025F" w:rsidRPr="008D2C45" w:rsidRDefault="00AE025F" w:rsidP="002F213D">
            <w:pPr>
              <w:pStyle w:val="paragraph"/>
              <w:spacing w:before="0" w:beforeAutospacing="0" w:after="0" w:afterAutospacing="0"/>
              <w:jc w:val="right"/>
              <w:rPr>
                <w:rFonts w:ascii="Cambria" w:hAnsi="Cambria" w:cs="Segoe UI"/>
              </w:rPr>
            </w:pPr>
            <w:r w:rsidRPr="008D2C45">
              <w:rPr>
                <w:rStyle w:val="normaltextrun"/>
                <w:rFonts w:ascii="Cambria" w:hAnsi="Cambria" w:cs="Calibri"/>
                <w:color w:val="000000" w:themeColor="text1"/>
              </w:rPr>
              <w:t>87.138.468,49 €</w:t>
            </w:r>
          </w:p>
        </w:tc>
        <w:tc>
          <w:tcPr>
            <w:tcW w:w="1500" w:type="dxa"/>
            <w:tcBorders>
              <w:top w:val="nil"/>
              <w:left w:val="nil"/>
              <w:bottom w:val="single" w:sz="6" w:space="0" w:color="auto"/>
              <w:right w:val="single" w:sz="6" w:space="0" w:color="auto"/>
            </w:tcBorders>
            <w:vAlign w:val="center"/>
          </w:tcPr>
          <w:p w14:paraId="2760DDB4" w14:textId="77777777" w:rsidR="00AE025F" w:rsidRPr="008D2C45" w:rsidRDefault="00AE025F" w:rsidP="002F213D">
            <w:pPr>
              <w:pStyle w:val="paragraph"/>
              <w:spacing w:before="0" w:beforeAutospacing="0" w:after="0" w:afterAutospacing="0"/>
              <w:jc w:val="right"/>
              <w:rPr>
                <w:rFonts w:ascii="Cambria" w:hAnsi="Cambria" w:cs="Segoe UI"/>
              </w:rPr>
            </w:pPr>
            <w:r w:rsidRPr="008D2C45">
              <w:rPr>
                <w:rStyle w:val="normaltextrun"/>
                <w:rFonts w:ascii="Cambria" w:hAnsi="Cambria" w:cs="Calibri"/>
                <w:color w:val="000000" w:themeColor="text1"/>
              </w:rPr>
              <w:t>19.420</w:t>
            </w:r>
          </w:p>
        </w:tc>
      </w:tr>
      <w:tr w:rsidR="00AE025F" w:rsidRPr="008D2C45" w14:paraId="2CDB850E" w14:textId="77777777" w:rsidTr="00AE025F">
        <w:trPr>
          <w:trHeight w:val="300"/>
          <w:jc w:val="center"/>
        </w:trPr>
        <w:tc>
          <w:tcPr>
            <w:tcW w:w="4380" w:type="dxa"/>
            <w:tcBorders>
              <w:top w:val="nil"/>
              <w:left w:val="single" w:sz="6" w:space="0" w:color="auto"/>
              <w:bottom w:val="single" w:sz="6" w:space="0" w:color="auto"/>
              <w:right w:val="single" w:sz="6" w:space="0" w:color="auto"/>
            </w:tcBorders>
            <w:vAlign w:val="center"/>
          </w:tcPr>
          <w:p w14:paraId="3191C691" w14:textId="77777777" w:rsidR="00AE025F" w:rsidRPr="008D2C45" w:rsidRDefault="00AE025F" w:rsidP="002F213D">
            <w:pPr>
              <w:pStyle w:val="paragraph"/>
              <w:spacing w:before="0" w:beforeAutospacing="0" w:after="0" w:afterAutospacing="0"/>
              <w:rPr>
                <w:rFonts w:ascii="Cambria" w:hAnsi="Cambria" w:cs="Segoe UI"/>
              </w:rPr>
            </w:pPr>
            <w:r w:rsidRPr="008D2C45">
              <w:rPr>
                <w:rStyle w:val="normaltextrun"/>
                <w:rFonts w:ascii="Cambria" w:hAnsi="Cambria" w:cs="Calibri"/>
                <w:color w:val="000000" w:themeColor="text1"/>
              </w:rPr>
              <w:t>Πρώτη αρωγή έναντι στεγαστικής συνδρομής</w:t>
            </w:r>
            <w:r w:rsidRPr="008D2C45">
              <w:rPr>
                <w:rStyle w:val="eop"/>
                <w:rFonts w:ascii="Cambria" w:hAnsi="Cambria" w:cs="Calibri"/>
                <w:color w:val="000000" w:themeColor="text1"/>
              </w:rPr>
              <w:t> </w:t>
            </w:r>
          </w:p>
        </w:tc>
        <w:tc>
          <w:tcPr>
            <w:tcW w:w="1695" w:type="dxa"/>
            <w:tcBorders>
              <w:top w:val="nil"/>
              <w:left w:val="nil"/>
              <w:bottom w:val="single" w:sz="6" w:space="0" w:color="auto"/>
              <w:right w:val="single" w:sz="6" w:space="0" w:color="auto"/>
            </w:tcBorders>
            <w:vAlign w:val="center"/>
          </w:tcPr>
          <w:p w14:paraId="407B6EF5" w14:textId="77777777" w:rsidR="00AE025F" w:rsidRPr="008D2C45" w:rsidRDefault="00AE025F" w:rsidP="002F213D">
            <w:pPr>
              <w:pStyle w:val="paragraph"/>
              <w:spacing w:before="0" w:beforeAutospacing="0" w:after="0" w:afterAutospacing="0"/>
              <w:jc w:val="right"/>
              <w:rPr>
                <w:rFonts w:ascii="Cambria" w:hAnsi="Cambria" w:cs="Segoe UI"/>
              </w:rPr>
            </w:pPr>
            <w:r w:rsidRPr="008D2C45">
              <w:rPr>
                <w:rStyle w:val="normaltextrun"/>
                <w:rFonts w:ascii="Cambria" w:hAnsi="Cambria" w:cs="Calibri"/>
                <w:color w:val="000000" w:themeColor="text1"/>
              </w:rPr>
              <w:t>16.908.455,35 €</w:t>
            </w:r>
          </w:p>
        </w:tc>
        <w:tc>
          <w:tcPr>
            <w:tcW w:w="1500" w:type="dxa"/>
            <w:tcBorders>
              <w:top w:val="nil"/>
              <w:left w:val="nil"/>
              <w:bottom w:val="single" w:sz="6" w:space="0" w:color="auto"/>
              <w:right w:val="single" w:sz="6" w:space="0" w:color="auto"/>
            </w:tcBorders>
            <w:vAlign w:val="center"/>
          </w:tcPr>
          <w:p w14:paraId="5A5C9561" w14:textId="77777777" w:rsidR="00AE025F" w:rsidRPr="008D2C45" w:rsidRDefault="00AE025F" w:rsidP="002F213D">
            <w:pPr>
              <w:pStyle w:val="paragraph"/>
              <w:spacing w:before="0" w:beforeAutospacing="0" w:after="0" w:afterAutospacing="0"/>
              <w:jc w:val="right"/>
              <w:rPr>
                <w:rFonts w:ascii="Cambria" w:hAnsi="Cambria" w:cs="Segoe UI"/>
              </w:rPr>
            </w:pPr>
            <w:r w:rsidRPr="008D2C45">
              <w:rPr>
                <w:rStyle w:val="normaltextrun"/>
                <w:rFonts w:ascii="Cambria" w:hAnsi="Cambria" w:cs="Calibri"/>
                <w:color w:val="000000" w:themeColor="text1"/>
              </w:rPr>
              <w:t>3.001</w:t>
            </w:r>
          </w:p>
        </w:tc>
      </w:tr>
      <w:tr w:rsidR="00AE025F" w:rsidRPr="008D2C45" w14:paraId="545FDE90" w14:textId="77777777" w:rsidTr="00AE025F">
        <w:trPr>
          <w:trHeight w:val="300"/>
          <w:jc w:val="center"/>
        </w:trPr>
        <w:tc>
          <w:tcPr>
            <w:tcW w:w="4380" w:type="dxa"/>
            <w:tcBorders>
              <w:top w:val="nil"/>
              <w:left w:val="single" w:sz="6" w:space="0" w:color="auto"/>
              <w:bottom w:val="single" w:sz="6" w:space="0" w:color="auto"/>
              <w:right w:val="single" w:sz="6" w:space="0" w:color="auto"/>
            </w:tcBorders>
            <w:vAlign w:val="center"/>
          </w:tcPr>
          <w:p w14:paraId="7C8C2341" w14:textId="77777777" w:rsidR="00AE025F" w:rsidRPr="008D2C45" w:rsidRDefault="00AE025F" w:rsidP="002F213D">
            <w:pPr>
              <w:pStyle w:val="paragraph"/>
              <w:spacing w:before="0" w:beforeAutospacing="0" w:after="0" w:afterAutospacing="0"/>
              <w:rPr>
                <w:rFonts w:ascii="Cambria" w:hAnsi="Cambria" w:cs="Segoe UI"/>
              </w:rPr>
            </w:pPr>
            <w:r w:rsidRPr="008D2C45">
              <w:rPr>
                <w:rStyle w:val="normaltextrun"/>
                <w:rFonts w:ascii="Cambria" w:hAnsi="Cambria" w:cs="Calibri"/>
                <w:color w:val="000000" w:themeColor="text1"/>
              </w:rPr>
              <w:t>Πρώτη αρωγή έναντι επιχορήγησης</w:t>
            </w:r>
            <w:r w:rsidRPr="008D2C45">
              <w:rPr>
                <w:rStyle w:val="eop"/>
                <w:rFonts w:ascii="Cambria" w:hAnsi="Cambria" w:cs="Calibri"/>
                <w:color w:val="000000" w:themeColor="text1"/>
              </w:rPr>
              <w:t> </w:t>
            </w:r>
          </w:p>
        </w:tc>
        <w:tc>
          <w:tcPr>
            <w:tcW w:w="1695" w:type="dxa"/>
            <w:tcBorders>
              <w:top w:val="nil"/>
              <w:left w:val="nil"/>
              <w:bottom w:val="single" w:sz="6" w:space="0" w:color="auto"/>
              <w:right w:val="single" w:sz="6" w:space="0" w:color="auto"/>
            </w:tcBorders>
            <w:vAlign w:val="center"/>
          </w:tcPr>
          <w:p w14:paraId="27316528" w14:textId="77777777" w:rsidR="00AE025F" w:rsidRPr="008D2C45" w:rsidRDefault="00AE025F" w:rsidP="002F213D">
            <w:pPr>
              <w:pStyle w:val="paragraph"/>
              <w:spacing w:before="0" w:beforeAutospacing="0" w:after="0" w:afterAutospacing="0"/>
              <w:jc w:val="right"/>
              <w:rPr>
                <w:rFonts w:ascii="Cambria" w:hAnsi="Cambria" w:cs="Segoe UI"/>
              </w:rPr>
            </w:pPr>
            <w:r w:rsidRPr="008D2C45">
              <w:rPr>
                <w:rStyle w:val="normaltextrun"/>
                <w:rFonts w:ascii="Cambria" w:hAnsi="Cambria" w:cs="Calibri"/>
              </w:rPr>
              <w:t>80.113.000,00 €</w:t>
            </w:r>
          </w:p>
        </w:tc>
        <w:tc>
          <w:tcPr>
            <w:tcW w:w="1500" w:type="dxa"/>
            <w:tcBorders>
              <w:top w:val="nil"/>
              <w:left w:val="nil"/>
              <w:bottom w:val="single" w:sz="6" w:space="0" w:color="auto"/>
              <w:right w:val="single" w:sz="6" w:space="0" w:color="auto"/>
            </w:tcBorders>
            <w:vAlign w:val="center"/>
          </w:tcPr>
          <w:p w14:paraId="2D0282C7" w14:textId="77777777" w:rsidR="00AE025F" w:rsidRPr="008D2C45" w:rsidRDefault="00AE025F" w:rsidP="002F213D">
            <w:pPr>
              <w:pStyle w:val="paragraph"/>
              <w:spacing w:before="0" w:beforeAutospacing="0" w:after="0" w:afterAutospacing="0"/>
              <w:jc w:val="right"/>
              <w:rPr>
                <w:rFonts w:ascii="Cambria" w:hAnsi="Cambria" w:cs="Segoe UI"/>
              </w:rPr>
            </w:pPr>
            <w:r w:rsidRPr="008D2C45">
              <w:rPr>
                <w:rStyle w:val="normaltextrun"/>
                <w:rFonts w:ascii="Cambria" w:hAnsi="Cambria" w:cs="Calibri"/>
              </w:rPr>
              <w:t>28.517</w:t>
            </w:r>
            <w:r w:rsidRPr="008D2C45">
              <w:rPr>
                <w:rStyle w:val="eop"/>
                <w:rFonts w:ascii="Cambria" w:hAnsi="Cambria" w:cs="Calibri"/>
              </w:rPr>
              <w:t> </w:t>
            </w:r>
          </w:p>
        </w:tc>
      </w:tr>
      <w:tr w:rsidR="00AE025F" w:rsidRPr="008D2C45" w14:paraId="0001E631" w14:textId="77777777" w:rsidTr="00AE025F">
        <w:trPr>
          <w:trHeight w:val="300"/>
          <w:jc w:val="center"/>
        </w:trPr>
        <w:tc>
          <w:tcPr>
            <w:tcW w:w="4380" w:type="dxa"/>
            <w:tcBorders>
              <w:top w:val="nil"/>
              <w:left w:val="single" w:sz="6" w:space="0" w:color="auto"/>
              <w:bottom w:val="single" w:sz="6" w:space="0" w:color="auto"/>
              <w:right w:val="single" w:sz="6" w:space="0" w:color="auto"/>
            </w:tcBorders>
            <w:vAlign w:val="center"/>
          </w:tcPr>
          <w:p w14:paraId="7CEA2515" w14:textId="77777777" w:rsidR="00AE025F" w:rsidRPr="008D2C45" w:rsidRDefault="00AE025F" w:rsidP="002F213D">
            <w:pPr>
              <w:pStyle w:val="paragraph"/>
              <w:spacing w:before="0" w:beforeAutospacing="0" w:after="0" w:afterAutospacing="0"/>
              <w:rPr>
                <w:rFonts w:ascii="Cambria" w:hAnsi="Cambria" w:cs="Segoe UI"/>
              </w:rPr>
            </w:pPr>
            <w:r w:rsidRPr="008D2C45">
              <w:rPr>
                <w:rStyle w:val="normaltextrun"/>
                <w:rFonts w:ascii="Cambria" w:hAnsi="Cambria" w:cs="Calibri"/>
                <w:b/>
                <w:bCs/>
                <w:color w:val="000000" w:themeColor="text1"/>
              </w:rPr>
              <w:t>Προκαταβολή</w:t>
            </w:r>
            <w:r w:rsidRPr="008D2C45">
              <w:rPr>
                <w:rStyle w:val="eop"/>
                <w:rFonts w:ascii="Cambria" w:hAnsi="Cambria" w:cs="Calibri"/>
                <w:color w:val="000000" w:themeColor="text1"/>
              </w:rPr>
              <w:t> </w:t>
            </w:r>
          </w:p>
        </w:tc>
        <w:tc>
          <w:tcPr>
            <w:tcW w:w="1695" w:type="dxa"/>
            <w:tcBorders>
              <w:top w:val="nil"/>
              <w:left w:val="nil"/>
              <w:bottom w:val="single" w:sz="6" w:space="0" w:color="auto"/>
              <w:right w:val="single" w:sz="6" w:space="0" w:color="auto"/>
            </w:tcBorders>
            <w:vAlign w:val="center"/>
          </w:tcPr>
          <w:p w14:paraId="3D9D909D" w14:textId="77777777" w:rsidR="00AE025F" w:rsidRPr="008D2C45" w:rsidRDefault="00AE025F" w:rsidP="002F213D">
            <w:pPr>
              <w:pStyle w:val="paragraph"/>
              <w:spacing w:before="0" w:beforeAutospacing="0" w:after="0" w:afterAutospacing="0"/>
              <w:jc w:val="right"/>
              <w:rPr>
                <w:rStyle w:val="normaltextrun"/>
                <w:rFonts w:ascii="Cambria" w:hAnsi="Cambria" w:cs="Calibri"/>
                <w:b/>
                <w:bCs/>
                <w:color w:val="000000" w:themeColor="text1"/>
              </w:rPr>
            </w:pPr>
            <w:r w:rsidRPr="008D2C45">
              <w:rPr>
                <w:rStyle w:val="normaltextrun"/>
                <w:rFonts w:ascii="Cambria" w:hAnsi="Cambria" w:cs="Calibri"/>
                <w:b/>
                <w:bCs/>
                <w:color w:val="000000" w:themeColor="text1"/>
              </w:rPr>
              <w:t>222.052.778,89 €</w:t>
            </w:r>
          </w:p>
        </w:tc>
        <w:tc>
          <w:tcPr>
            <w:tcW w:w="1500" w:type="dxa"/>
            <w:tcBorders>
              <w:top w:val="nil"/>
              <w:left w:val="nil"/>
              <w:bottom w:val="single" w:sz="6" w:space="0" w:color="auto"/>
              <w:right w:val="single" w:sz="6" w:space="0" w:color="auto"/>
            </w:tcBorders>
            <w:vAlign w:val="center"/>
          </w:tcPr>
          <w:p w14:paraId="60C1A5C8" w14:textId="77777777" w:rsidR="00AE025F" w:rsidRPr="008D2C45" w:rsidRDefault="00AE025F" w:rsidP="002F213D">
            <w:pPr>
              <w:pStyle w:val="paragraph"/>
              <w:spacing w:before="0" w:beforeAutospacing="0" w:after="0" w:afterAutospacing="0" w:line="259" w:lineRule="auto"/>
              <w:jc w:val="right"/>
              <w:rPr>
                <w:rStyle w:val="normaltextrun"/>
                <w:rFonts w:ascii="Cambria" w:hAnsi="Cambria" w:cs="Calibri"/>
                <w:b/>
                <w:bCs/>
                <w:color w:val="000000" w:themeColor="text1"/>
              </w:rPr>
            </w:pPr>
            <w:r w:rsidRPr="008D2C45">
              <w:rPr>
                <w:rStyle w:val="normaltextrun"/>
                <w:rFonts w:ascii="Cambria" w:hAnsi="Cambria" w:cs="Calibri"/>
                <w:b/>
                <w:bCs/>
                <w:color w:val="000000" w:themeColor="text1"/>
              </w:rPr>
              <w:t>21.929</w:t>
            </w:r>
          </w:p>
        </w:tc>
      </w:tr>
      <w:tr w:rsidR="00AE025F" w:rsidRPr="008D2C45" w14:paraId="6DC64E4C" w14:textId="77777777" w:rsidTr="00AE025F">
        <w:trPr>
          <w:trHeight w:val="300"/>
          <w:jc w:val="center"/>
        </w:trPr>
        <w:tc>
          <w:tcPr>
            <w:tcW w:w="4380" w:type="dxa"/>
            <w:tcBorders>
              <w:top w:val="nil"/>
              <w:left w:val="single" w:sz="6" w:space="0" w:color="auto"/>
              <w:bottom w:val="single" w:sz="6" w:space="0" w:color="auto"/>
              <w:right w:val="single" w:sz="6" w:space="0" w:color="auto"/>
            </w:tcBorders>
            <w:vAlign w:val="center"/>
          </w:tcPr>
          <w:p w14:paraId="63E894EE" w14:textId="77777777" w:rsidR="00AE025F" w:rsidRPr="008D2C45" w:rsidRDefault="00AE025F" w:rsidP="002F213D">
            <w:pPr>
              <w:pStyle w:val="paragraph"/>
              <w:spacing w:before="0" w:beforeAutospacing="0" w:after="0" w:afterAutospacing="0"/>
              <w:rPr>
                <w:rFonts w:ascii="Cambria" w:hAnsi="Cambria" w:cs="Segoe UI"/>
              </w:rPr>
            </w:pPr>
            <w:r w:rsidRPr="008D2C45">
              <w:rPr>
                <w:rStyle w:val="normaltextrun"/>
                <w:rFonts w:ascii="Cambria" w:hAnsi="Cambria" w:cs="Calibri"/>
                <w:b/>
                <w:bCs/>
                <w:color w:val="000000" w:themeColor="text1"/>
              </w:rPr>
              <w:t>Ειδικό σχήμα</w:t>
            </w:r>
            <w:r w:rsidRPr="008D2C45">
              <w:rPr>
                <w:rStyle w:val="eop"/>
                <w:rFonts w:ascii="Cambria" w:hAnsi="Cambria" w:cs="Calibri"/>
                <w:color w:val="000000" w:themeColor="text1"/>
              </w:rPr>
              <w:t> </w:t>
            </w:r>
          </w:p>
        </w:tc>
        <w:tc>
          <w:tcPr>
            <w:tcW w:w="1695" w:type="dxa"/>
            <w:tcBorders>
              <w:top w:val="nil"/>
              <w:left w:val="nil"/>
              <w:bottom w:val="single" w:sz="6" w:space="0" w:color="auto"/>
              <w:right w:val="single" w:sz="6" w:space="0" w:color="auto"/>
            </w:tcBorders>
            <w:vAlign w:val="center"/>
          </w:tcPr>
          <w:p w14:paraId="6CA651F7" w14:textId="77777777" w:rsidR="00AE025F" w:rsidRPr="008D2C45" w:rsidRDefault="00AE025F" w:rsidP="002F213D">
            <w:pPr>
              <w:pStyle w:val="paragraph"/>
              <w:spacing w:before="0" w:beforeAutospacing="0" w:after="0" w:afterAutospacing="0"/>
              <w:jc w:val="right"/>
              <w:rPr>
                <w:rFonts w:ascii="Cambria" w:hAnsi="Cambria" w:cs="Segoe UI"/>
              </w:rPr>
            </w:pPr>
            <w:r w:rsidRPr="008D2C45">
              <w:rPr>
                <w:rStyle w:val="normaltextrun"/>
                <w:rFonts w:ascii="Cambria" w:hAnsi="Cambria" w:cs="Calibri"/>
                <w:b/>
                <w:bCs/>
              </w:rPr>
              <w:t>12.835.679,26 €</w:t>
            </w:r>
          </w:p>
        </w:tc>
        <w:tc>
          <w:tcPr>
            <w:tcW w:w="1500" w:type="dxa"/>
            <w:tcBorders>
              <w:top w:val="nil"/>
              <w:left w:val="nil"/>
              <w:bottom w:val="single" w:sz="6" w:space="0" w:color="auto"/>
              <w:right w:val="single" w:sz="6" w:space="0" w:color="auto"/>
            </w:tcBorders>
            <w:vAlign w:val="center"/>
          </w:tcPr>
          <w:p w14:paraId="43A360D3" w14:textId="77777777" w:rsidR="00AE025F" w:rsidRPr="008D2C45" w:rsidRDefault="00AE025F" w:rsidP="002F213D">
            <w:pPr>
              <w:pStyle w:val="paragraph"/>
              <w:spacing w:before="0" w:beforeAutospacing="0" w:after="0" w:afterAutospacing="0"/>
              <w:jc w:val="right"/>
              <w:rPr>
                <w:rFonts w:ascii="Cambria" w:hAnsi="Cambria" w:cs="Segoe UI"/>
              </w:rPr>
            </w:pPr>
            <w:r w:rsidRPr="008D2C45">
              <w:rPr>
                <w:rStyle w:val="normaltextrun"/>
                <w:rFonts w:ascii="Cambria" w:hAnsi="Cambria" w:cs="Calibri"/>
                <w:b/>
                <w:bCs/>
              </w:rPr>
              <w:t>1.297</w:t>
            </w:r>
          </w:p>
        </w:tc>
      </w:tr>
      <w:tr w:rsidR="00AE025F" w:rsidRPr="008D2C45" w14:paraId="02BA890A" w14:textId="77777777" w:rsidTr="00AE025F">
        <w:trPr>
          <w:trHeight w:val="300"/>
          <w:jc w:val="center"/>
        </w:trPr>
        <w:tc>
          <w:tcPr>
            <w:tcW w:w="4380" w:type="dxa"/>
            <w:tcBorders>
              <w:top w:val="nil"/>
              <w:left w:val="single" w:sz="6" w:space="0" w:color="auto"/>
              <w:bottom w:val="single" w:sz="6" w:space="0" w:color="auto"/>
              <w:right w:val="single" w:sz="6" w:space="0" w:color="auto"/>
            </w:tcBorders>
            <w:vAlign w:val="center"/>
          </w:tcPr>
          <w:p w14:paraId="6BB6BD08" w14:textId="77777777" w:rsidR="00AE025F" w:rsidRPr="008D2C45" w:rsidRDefault="00AE025F" w:rsidP="002F213D">
            <w:pPr>
              <w:pStyle w:val="paragraph"/>
              <w:spacing w:before="0" w:beforeAutospacing="0" w:after="0" w:afterAutospacing="0"/>
              <w:jc w:val="both"/>
              <w:rPr>
                <w:rStyle w:val="normaltextrun"/>
                <w:rFonts w:ascii="Cambria" w:hAnsi="Cambria" w:cs="Calibri"/>
                <w:b/>
                <w:bCs/>
                <w:color w:val="000000" w:themeColor="text1"/>
              </w:rPr>
            </w:pPr>
            <w:r w:rsidRPr="008D2C45">
              <w:rPr>
                <w:rStyle w:val="normaltextrun"/>
                <w:rFonts w:ascii="Cambria" w:hAnsi="Cambria" w:cs="Calibri"/>
                <w:b/>
                <w:bCs/>
                <w:color w:val="000000" w:themeColor="text1"/>
              </w:rPr>
              <w:t>Στεγαστική συνδρομή</w:t>
            </w:r>
          </w:p>
        </w:tc>
        <w:tc>
          <w:tcPr>
            <w:tcW w:w="1695" w:type="dxa"/>
            <w:tcBorders>
              <w:top w:val="nil"/>
              <w:left w:val="nil"/>
              <w:bottom w:val="single" w:sz="6" w:space="0" w:color="auto"/>
              <w:right w:val="single" w:sz="6" w:space="0" w:color="auto"/>
            </w:tcBorders>
            <w:vAlign w:val="center"/>
          </w:tcPr>
          <w:p w14:paraId="5C7ECCD2" w14:textId="77777777" w:rsidR="00AE025F" w:rsidRPr="008D2C45" w:rsidRDefault="00AE025F" w:rsidP="002F213D">
            <w:pPr>
              <w:pStyle w:val="paragraph"/>
              <w:spacing w:before="0" w:beforeAutospacing="0" w:after="0" w:afterAutospacing="0"/>
              <w:jc w:val="right"/>
              <w:rPr>
                <w:rStyle w:val="normaltextrun"/>
                <w:rFonts w:ascii="Cambria" w:hAnsi="Cambria" w:cs="Calibri"/>
                <w:b/>
                <w:bCs/>
              </w:rPr>
            </w:pPr>
            <w:r w:rsidRPr="008D2C45">
              <w:rPr>
                <w:rStyle w:val="normaltextrun"/>
                <w:rFonts w:ascii="Cambria" w:hAnsi="Cambria" w:cs="Calibri"/>
                <w:b/>
                <w:bCs/>
              </w:rPr>
              <w:t>27.103.774,93 €</w:t>
            </w:r>
          </w:p>
        </w:tc>
        <w:tc>
          <w:tcPr>
            <w:tcW w:w="1500" w:type="dxa"/>
            <w:tcBorders>
              <w:top w:val="nil"/>
              <w:left w:val="nil"/>
              <w:bottom w:val="single" w:sz="6" w:space="0" w:color="auto"/>
              <w:right w:val="single" w:sz="6" w:space="0" w:color="auto"/>
            </w:tcBorders>
            <w:vAlign w:val="center"/>
          </w:tcPr>
          <w:p w14:paraId="07848A4E" w14:textId="77777777" w:rsidR="00AE025F" w:rsidRPr="008D2C45" w:rsidRDefault="00AE025F" w:rsidP="002F213D">
            <w:pPr>
              <w:pStyle w:val="paragraph"/>
              <w:spacing w:before="0" w:beforeAutospacing="0" w:after="0" w:afterAutospacing="0"/>
              <w:jc w:val="right"/>
              <w:rPr>
                <w:rStyle w:val="normaltextrun"/>
                <w:rFonts w:ascii="Cambria" w:hAnsi="Cambria" w:cs="Calibri"/>
                <w:b/>
                <w:bCs/>
              </w:rPr>
            </w:pPr>
          </w:p>
        </w:tc>
      </w:tr>
      <w:tr w:rsidR="00AE025F" w:rsidRPr="008D2C45" w14:paraId="28E8E2AD" w14:textId="77777777" w:rsidTr="00AE025F">
        <w:trPr>
          <w:trHeight w:val="300"/>
          <w:jc w:val="center"/>
        </w:trPr>
        <w:tc>
          <w:tcPr>
            <w:tcW w:w="4380" w:type="dxa"/>
            <w:tcBorders>
              <w:top w:val="nil"/>
              <w:left w:val="single" w:sz="6" w:space="0" w:color="auto"/>
              <w:bottom w:val="single" w:sz="6" w:space="0" w:color="auto"/>
              <w:right w:val="single" w:sz="6" w:space="0" w:color="auto"/>
            </w:tcBorders>
            <w:vAlign w:val="center"/>
          </w:tcPr>
          <w:p w14:paraId="4927E8AC" w14:textId="77777777" w:rsidR="00AE025F" w:rsidRPr="008D2C45" w:rsidRDefault="00AE025F" w:rsidP="002F213D">
            <w:pPr>
              <w:pStyle w:val="paragraph"/>
              <w:spacing w:before="0" w:beforeAutospacing="0" w:after="0" w:afterAutospacing="0"/>
              <w:rPr>
                <w:rStyle w:val="normaltextrun"/>
                <w:rFonts w:ascii="Cambria" w:hAnsi="Cambria" w:cs="Calibri"/>
                <w:color w:val="000000" w:themeColor="text1"/>
              </w:rPr>
            </w:pPr>
            <w:r w:rsidRPr="008D2C45">
              <w:rPr>
                <w:rStyle w:val="normaltextrun"/>
                <w:rFonts w:ascii="Cambria" w:hAnsi="Cambria" w:cs="Calibri"/>
                <w:color w:val="000000" w:themeColor="text1"/>
              </w:rPr>
              <w:t>Ε</w:t>
            </w:r>
            <w:r w:rsidRPr="008D2C45">
              <w:rPr>
                <w:rStyle w:val="normaltextrun"/>
                <w:rFonts w:ascii="Cambria" w:hAnsi="Cambria" w:cs="Calibri"/>
              </w:rPr>
              <w:t>πιδότηση ενοικίου / συγκατοίκησης</w:t>
            </w:r>
          </w:p>
        </w:tc>
        <w:tc>
          <w:tcPr>
            <w:tcW w:w="1695" w:type="dxa"/>
            <w:tcBorders>
              <w:top w:val="nil"/>
              <w:left w:val="nil"/>
              <w:bottom w:val="single" w:sz="6" w:space="0" w:color="auto"/>
              <w:right w:val="single" w:sz="6" w:space="0" w:color="auto"/>
            </w:tcBorders>
            <w:vAlign w:val="center"/>
          </w:tcPr>
          <w:p w14:paraId="1B15F67D" w14:textId="77777777" w:rsidR="00AE025F" w:rsidRPr="008D2C45" w:rsidRDefault="00AE025F" w:rsidP="002F213D">
            <w:pPr>
              <w:pStyle w:val="paragraph"/>
              <w:spacing w:before="0" w:beforeAutospacing="0" w:after="0" w:afterAutospacing="0"/>
              <w:jc w:val="right"/>
              <w:rPr>
                <w:rStyle w:val="normaltextrun"/>
                <w:rFonts w:ascii="Cambria" w:hAnsi="Cambria" w:cs="Calibri"/>
                <w:color w:val="000000" w:themeColor="text1"/>
              </w:rPr>
            </w:pPr>
            <w:r w:rsidRPr="008D2C45">
              <w:rPr>
                <w:rStyle w:val="normaltextrun"/>
                <w:rFonts w:ascii="Cambria" w:hAnsi="Cambria" w:cs="Calibri"/>
                <w:color w:val="000000" w:themeColor="text1"/>
              </w:rPr>
              <w:t xml:space="preserve">5.559.178,47 </w:t>
            </w:r>
            <w:r w:rsidRPr="008D2C45">
              <w:rPr>
                <w:rStyle w:val="normaltextrun"/>
                <w:rFonts w:ascii="Cambria" w:hAnsi="Cambria" w:cs="Calibri"/>
              </w:rPr>
              <w:t>€</w:t>
            </w:r>
          </w:p>
        </w:tc>
        <w:tc>
          <w:tcPr>
            <w:tcW w:w="1500" w:type="dxa"/>
            <w:tcBorders>
              <w:top w:val="nil"/>
              <w:left w:val="nil"/>
              <w:bottom w:val="single" w:sz="6" w:space="0" w:color="auto"/>
              <w:right w:val="single" w:sz="6" w:space="0" w:color="auto"/>
            </w:tcBorders>
            <w:vAlign w:val="center"/>
          </w:tcPr>
          <w:p w14:paraId="349DE863" w14:textId="77777777" w:rsidR="00AE025F" w:rsidRPr="008D2C45" w:rsidRDefault="00AE025F" w:rsidP="002F213D">
            <w:pPr>
              <w:pStyle w:val="paragraph"/>
              <w:spacing w:before="0" w:beforeAutospacing="0" w:after="0" w:afterAutospacing="0"/>
              <w:jc w:val="right"/>
              <w:rPr>
                <w:rStyle w:val="normaltextrun"/>
                <w:rFonts w:ascii="Cambria" w:hAnsi="Cambria" w:cs="Calibri"/>
              </w:rPr>
            </w:pPr>
            <w:r w:rsidRPr="008D2C45">
              <w:rPr>
                <w:rStyle w:val="normaltextrun"/>
                <w:rFonts w:ascii="Cambria" w:hAnsi="Cambria" w:cs="Calibri"/>
              </w:rPr>
              <w:t>2.227</w:t>
            </w:r>
          </w:p>
        </w:tc>
      </w:tr>
      <w:tr w:rsidR="00AE025F" w:rsidRPr="008D2C45" w14:paraId="25CD41D3" w14:textId="77777777" w:rsidTr="00AE025F">
        <w:trPr>
          <w:trHeight w:val="300"/>
          <w:jc w:val="center"/>
        </w:trPr>
        <w:tc>
          <w:tcPr>
            <w:tcW w:w="4380" w:type="dxa"/>
            <w:tcBorders>
              <w:top w:val="nil"/>
              <w:left w:val="single" w:sz="6" w:space="0" w:color="auto"/>
              <w:bottom w:val="single" w:sz="6" w:space="0" w:color="auto"/>
              <w:right w:val="single" w:sz="6" w:space="0" w:color="auto"/>
            </w:tcBorders>
            <w:vAlign w:val="center"/>
          </w:tcPr>
          <w:p w14:paraId="094CCFFB" w14:textId="77777777" w:rsidR="00AE025F" w:rsidRPr="008D2C45" w:rsidRDefault="00AE025F" w:rsidP="002F213D">
            <w:pPr>
              <w:pStyle w:val="paragraph"/>
              <w:spacing w:before="0" w:beforeAutospacing="0" w:after="0" w:afterAutospacing="0"/>
              <w:rPr>
                <w:rStyle w:val="normaltextrun"/>
                <w:rFonts w:ascii="Cambria" w:hAnsi="Cambria" w:cs="Calibri"/>
                <w:color w:val="000000" w:themeColor="text1"/>
              </w:rPr>
            </w:pPr>
            <w:r w:rsidRPr="008D2C45">
              <w:rPr>
                <w:rStyle w:val="normaltextrun"/>
                <w:rFonts w:ascii="Cambria" w:hAnsi="Cambria" w:cs="Calibri"/>
                <w:color w:val="000000" w:themeColor="text1"/>
              </w:rPr>
              <w:t>Άδειες επισκευής</w:t>
            </w:r>
          </w:p>
        </w:tc>
        <w:tc>
          <w:tcPr>
            <w:tcW w:w="1695" w:type="dxa"/>
            <w:tcBorders>
              <w:top w:val="nil"/>
              <w:left w:val="nil"/>
              <w:bottom w:val="single" w:sz="6" w:space="0" w:color="auto"/>
              <w:right w:val="single" w:sz="6" w:space="0" w:color="auto"/>
            </w:tcBorders>
            <w:vAlign w:val="center"/>
          </w:tcPr>
          <w:p w14:paraId="62D38E72" w14:textId="77777777" w:rsidR="00AE025F" w:rsidRPr="008D2C45" w:rsidRDefault="00AE025F" w:rsidP="002F213D">
            <w:pPr>
              <w:pStyle w:val="paragraph"/>
              <w:spacing w:before="0" w:beforeAutospacing="0" w:after="0" w:afterAutospacing="0"/>
              <w:jc w:val="right"/>
              <w:rPr>
                <w:rStyle w:val="normaltextrun"/>
                <w:rFonts w:ascii="Cambria" w:hAnsi="Cambria" w:cs="Calibri"/>
              </w:rPr>
            </w:pPr>
            <w:r w:rsidRPr="008D2C45">
              <w:rPr>
                <w:rStyle w:val="normaltextrun"/>
                <w:rFonts w:ascii="Cambria" w:hAnsi="Cambria" w:cs="Calibri"/>
              </w:rPr>
              <w:t>19.874.596,46 €</w:t>
            </w:r>
          </w:p>
        </w:tc>
        <w:tc>
          <w:tcPr>
            <w:tcW w:w="1500" w:type="dxa"/>
            <w:tcBorders>
              <w:top w:val="nil"/>
              <w:left w:val="nil"/>
              <w:bottom w:val="single" w:sz="6" w:space="0" w:color="auto"/>
              <w:right w:val="single" w:sz="6" w:space="0" w:color="auto"/>
            </w:tcBorders>
            <w:vAlign w:val="center"/>
          </w:tcPr>
          <w:p w14:paraId="690CA971" w14:textId="77777777" w:rsidR="00AE025F" w:rsidRPr="008D2C45" w:rsidRDefault="00AE025F" w:rsidP="002F213D">
            <w:pPr>
              <w:pStyle w:val="paragraph"/>
              <w:spacing w:before="0" w:beforeAutospacing="0" w:after="0" w:afterAutospacing="0"/>
              <w:jc w:val="right"/>
              <w:rPr>
                <w:rStyle w:val="normaltextrun"/>
                <w:rFonts w:ascii="Cambria" w:hAnsi="Cambria" w:cs="Calibri"/>
              </w:rPr>
            </w:pPr>
            <w:r w:rsidRPr="008D2C45">
              <w:rPr>
                <w:rStyle w:val="normaltextrun"/>
                <w:rFonts w:ascii="Cambria" w:hAnsi="Cambria" w:cs="Calibri"/>
              </w:rPr>
              <w:t>2.805 κτίρια</w:t>
            </w:r>
          </w:p>
        </w:tc>
      </w:tr>
      <w:tr w:rsidR="00AE025F" w:rsidRPr="008D2C45" w14:paraId="7BED49FD" w14:textId="77777777" w:rsidTr="00AE025F">
        <w:trPr>
          <w:trHeight w:val="300"/>
          <w:jc w:val="center"/>
        </w:trPr>
        <w:tc>
          <w:tcPr>
            <w:tcW w:w="4380" w:type="dxa"/>
            <w:tcBorders>
              <w:top w:val="nil"/>
              <w:left w:val="single" w:sz="6" w:space="0" w:color="auto"/>
              <w:bottom w:val="single" w:sz="6" w:space="0" w:color="auto"/>
              <w:right w:val="single" w:sz="6" w:space="0" w:color="auto"/>
            </w:tcBorders>
            <w:vAlign w:val="center"/>
          </w:tcPr>
          <w:p w14:paraId="4E62F319" w14:textId="77777777" w:rsidR="00AE025F" w:rsidRPr="008D2C45" w:rsidRDefault="00AE025F" w:rsidP="002F213D">
            <w:pPr>
              <w:pStyle w:val="paragraph"/>
              <w:spacing w:before="0" w:beforeAutospacing="0" w:after="0" w:afterAutospacing="0"/>
              <w:rPr>
                <w:rStyle w:val="normaltextrun"/>
                <w:rFonts w:ascii="Cambria" w:hAnsi="Cambria" w:cs="Calibri"/>
                <w:color w:val="000000" w:themeColor="text1"/>
              </w:rPr>
            </w:pPr>
            <w:r w:rsidRPr="008D2C45">
              <w:rPr>
                <w:rStyle w:val="normaltextrun"/>
                <w:rFonts w:ascii="Cambria" w:hAnsi="Cambria" w:cs="Calibri"/>
                <w:color w:val="000000" w:themeColor="text1"/>
              </w:rPr>
              <w:t>Παραχώρηση οικίσκων</w:t>
            </w:r>
          </w:p>
        </w:tc>
        <w:tc>
          <w:tcPr>
            <w:tcW w:w="1695" w:type="dxa"/>
            <w:tcBorders>
              <w:top w:val="nil"/>
              <w:left w:val="nil"/>
              <w:bottom w:val="single" w:sz="6" w:space="0" w:color="auto"/>
              <w:right w:val="single" w:sz="6" w:space="0" w:color="auto"/>
            </w:tcBorders>
            <w:vAlign w:val="center"/>
          </w:tcPr>
          <w:p w14:paraId="4514EFCE" w14:textId="77777777" w:rsidR="00AE025F" w:rsidRPr="008D2C45" w:rsidRDefault="00AE025F" w:rsidP="002F213D">
            <w:pPr>
              <w:pStyle w:val="paragraph"/>
              <w:spacing w:before="0" w:beforeAutospacing="0" w:after="0" w:afterAutospacing="0"/>
              <w:jc w:val="right"/>
              <w:rPr>
                <w:rStyle w:val="normaltextrun"/>
                <w:rFonts w:ascii="Cambria" w:hAnsi="Cambria" w:cs="Calibri"/>
                <w:color w:val="000000" w:themeColor="text1"/>
              </w:rPr>
            </w:pPr>
            <w:r w:rsidRPr="008D2C45">
              <w:rPr>
                <w:rStyle w:val="normaltextrun"/>
                <w:rFonts w:ascii="Cambria" w:hAnsi="Cambria" w:cs="Calibri"/>
                <w:color w:val="000000" w:themeColor="text1"/>
              </w:rPr>
              <w:t>1.670.000,00 €</w:t>
            </w:r>
          </w:p>
        </w:tc>
        <w:tc>
          <w:tcPr>
            <w:tcW w:w="1500" w:type="dxa"/>
            <w:tcBorders>
              <w:top w:val="nil"/>
              <w:left w:val="nil"/>
              <w:bottom w:val="single" w:sz="6" w:space="0" w:color="auto"/>
              <w:right w:val="single" w:sz="6" w:space="0" w:color="auto"/>
            </w:tcBorders>
            <w:vAlign w:val="center"/>
          </w:tcPr>
          <w:p w14:paraId="4F4096FD" w14:textId="77777777" w:rsidR="00AE025F" w:rsidRPr="008D2C45" w:rsidRDefault="00AE025F" w:rsidP="002F213D">
            <w:pPr>
              <w:pStyle w:val="paragraph"/>
              <w:spacing w:before="0" w:beforeAutospacing="0" w:after="0" w:afterAutospacing="0"/>
              <w:jc w:val="right"/>
              <w:rPr>
                <w:rStyle w:val="normaltextrun"/>
                <w:rFonts w:ascii="Cambria" w:hAnsi="Cambria" w:cs="Calibri"/>
              </w:rPr>
            </w:pPr>
            <w:r w:rsidRPr="008D2C45">
              <w:rPr>
                <w:rStyle w:val="normaltextrun"/>
                <w:rFonts w:ascii="Cambria" w:hAnsi="Cambria" w:cs="Calibri"/>
              </w:rPr>
              <w:t>131 οικίσκοι</w:t>
            </w:r>
          </w:p>
        </w:tc>
      </w:tr>
      <w:tr w:rsidR="00AE025F" w:rsidRPr="008D2C45" w14:paraId="3397C730" w14:textId="77777777" w:rsidTr="00AE025F">
        <w:trPr>
          <w:trHeight w:val="300"/>
          <w:jc w:val="center"/>
        </w:trPr>
        <w:tc>
          <w:tcPr>
            <w:tcW w:w="4380" w:type="dxa"/>
            <w:tcBorders>
              <w:top w:val="nil"/>
              <w:left w:val="single" w:sz="6" w:space="0" w:color="auto"/>
              <w:bottom w:val="single" w:sz="6" w:space="0" w:color="auto"/>
              <w:right w:val="single" w:sz="6" w:space="0" w:color="auto"/>
            </w:tcBorders>
            <w:shd w:val="clear" w:color="auto" w:fill="FFFFFF" w:themeFill="background1"/>
            <w:vAlign w:val="center"/>
          </w:tcPr>
          <w:p w14:paraId="593C6632" w14:textId="77777777" w:rsidR="00AE025F" w:rsidRPr="008D2C45" w:rsidRDefault="00AE025F" w:rsidP="002F213D">
            <w:pPr>
              <w:pStyle w:val="paragraph"/>
              <w:spacing w:before="0" w:beforeAutospacing="0" w:after="0" w:afterAutospacing="0"/>
              <w:rPr>
                <w:rStyle w:val="normaltextrun"/>
                <w:rFonts w:ascii="Cambria" w:hAnsi="Cambria" w:cs="Calibri"/>
                <w:b/>
                <w:bCs/>
                <w:color w:val="000000" w:themeColor="text1"/>
              </w:rPr>
            </w:pPr>
            <w:r w:rsidRPr="008D2C45">
              <w:rPr>
                <w:rStyle w:val="normaltextrun"/>
                <w:rFonts w:ascii="Cambria" w:hAnsi="Cambria" w:cs="Calibri"/>
                <w:b/>
                <w:bCs/>
                <w:color w:val="000000" w:themeColor="text1"/>
              </w:rPr>
              <w:t>Οικοσκευή (μέσω Δήμων)</w:t>
            </w:r>
          </w:p>
        </w:tc>
        <w:tc>
          <w:tcPr>
            <w:tcW w:w="1695" w:type="dxa"/>
            <w:tcBorders>
              <w:top w:val="nil"/>
              <w:left w:val="nil"/>
              <w:bottom w:val="single" w:sz="6" w:space="0" w:color="auto"/>
              <w:right w:val="single" w:sz="6" w:space="0" w:color="auto"/>
            </w:tcBorders>
            <w:shd w:val="clear" w:color="auto" w:fill="FFFFFF" w:themeFill="background1"/>
            <w:vAlign w:val="center"/>
          </w:tcPr>
          <w:p w14:paraId="7D296C98" w14:textId="77777777" w:rsidR="00AE025F" w:rsidRPr="008D2C45" w:rsidRDefault="00AE025F" w:rsidP="002F213D">
            <w:pPr>
              <w:pStyle w:val="paragraph"/>
              <w:spacing w:before="0" w:beforeAutospacing="0" w:after="0" w:afterAutospacing="0"/>
              <w:jc w:val="right"/>
              <w:rPr>
                <w:rStyle w:val="normaltextrun"/>
                <w:rFonts w:ascii="Cambria" w:hAnsi="Cambria" w:cs="Calibri"/>
                <w:b/>
                <w:bCs/>
              </w:rPr>
            </w:pPr>
            <w:r w:rsidRPr="008D2C45">
              <w:rPr>
                <w:rStyle w:val="normaltextrun"/>
                <w:rFonts w:ascii="Cambria" w:hAnsi="Cambria" w:cs="Calibri"/>
                <w:b/>
                <w:bCs/>
              </w:rPr>
              <w:t>2.015.399,14 €</w:t>
            </w:r>
          </w:p>
        </w:tc>
        <w:tc>
          <w:tcPr>
            <w:tcW w:w="1500" w:type="dxa"/>
            <w:tcBorders>
              <w:top w:val="nil"/>
              <w:left w:val="nil"/>
              <w:bottom w:val="single" w:sz="6" w:space="0" w:color="auto"/>
              <w:right w:val="single" w:sz="6" w:space="0" w:color="auto"/>
            </w:tcBorders>
            <w:shd w:val="clear" w:color="auto" w:fill="FFFFFF" w:themeFill="background1"/>
            <w:vAlign w:val="center"/>
          </w:tcPr>
          <w:p w14:paraId="3937FAA8" w14:textId="77777777" w:rsidR="00AE025F" w:rsidRPr="008D2C45" w:rsidRDefault="00AE025F" w:rsidP="002F213D">
            <w:pPr>
              <w:pStyle w:val="paragraph"/>
              <w:spacing w:before="0" w:beforeAutospacing="0" w:after="0" w:afterAutospacing="0"/>
              <w:jc w:val="right"/>
              <w:rPr>
                <w:rStyle w:val="normaltextrun"/>
                <w:rFonts w:ascii="Cambria" w:hAnsi="Cambria" w:cs="Calibri"/>
                <w:b/>
                <w:bCs/>
              </w:rPr>
            </w:pPr>
          </w:p>
        </w:tc>
      </w:tr>
      <w:tr w:rsidR="00AE025F" w:rsidRPr="008D2C45" w14:paraId="2EA78AAD" w14:textId="77777777" w:rsidTr="00AE025F">
        <w:trPr>
          <w:trHeight w:val="300"/>
          <w:jc w:val="center"/>
        </w:trPr>
        <w:tc>
          <w:tcPr>
            <w:tcW w:w="4380" w:type="dxa"/>
            <w:tcBorders>
              <w:top w:val="nil"/>
              <w:left w:val="single" w:sz="6" w:space="0" w:color="auto"/>
              <w:bottom w:val="single" w:sz="6" w:space="0" w:color="auto"/>
              <w:right w:val="single" w:sz="6" w:space="0" w:color="auto"/>
            </w:tcBorders>
            <w:shd w:val="clear" w:color="auto" w:fill="D9D9D9" w:themeFill="background1" w:themeFillShade="D9"/>
            <w:vAlign w:val="center"/>
          </w:tcPr>
          <w:p w14:paraId="60C15334" w14:textId="77777777" w:rsidR="00AE025F" w:rsidRPr="008D2C45" w:rsidRDefault="00AE025F" w:rsidP="002F213D">
            <w:pPr>
              <w:pStyle w:val="paragraph"/>
              <w:spacing w:before="0" w:beforeAutospacing="0" w:after="0" w:afterAutospacing="0"/>
              <w:rPr>
                <w:rFonts w:ascii="Cambria" w:hAnsi="Cambria" w:cs="Segoe UI"/>
              </w:rPr>
            </w:pPr>
            <w:r w:rsidRPr="008D2C45">
              <w:rPr>
                <w:rStyle w:val="normaltextrun"/>
                <w:rFonts w:ascii="Cambria" w:hAnsi="Cambria" w:cs="Calibri"/>
                <w:b/>
                <w:bCs/>
                <w:color w:val="000000" w:themeColor="text1"/>
              </w:rPr>
              <w:lastRenderedPageBreak/>
              <w:t>Σύνολο καταβολών Daniel</w:t>
            </w:r>
            <w:r w:rsidRPr="008D2C45">
              <w:rPr>
                <w:rStyle w:val="eop"/>
                <w:rFonts w:ascii="Cambria" w:hAnsi="Cambria" w:cs="Calibri"/>
                <w:color w:val="000000" w:themeColor="text1"/>
              </w:rPr>
              <w:t> </w:t>
            </w:r>
          </w:p>
        </w:tc>
        <w:tc>
          <w:tcPr>
            <w:tcW w:w="1695" w:type="dxa"/>
            <w:tcBorders>
              <w:top w:val="nil"/>
              <w:left w:val="nil"/>
              <w:bottom w:val="single" w:sz="6" w:space="0" w:color="auto"/>
              <w:right w:val="single" w:sz="6" w:space="0" w:color="auto"/>
            </w:tcBorders>
            <w:shd w:val="clear" w:color="auto" w:fill="D9D9D9" w:themeFill="background1" w:themeFillShade="D9"/>
            <w:vAlign w:val="center"/>
          </w:tcPr>
          <w:p w14:paraId="73A1D8C4" w14:textId="77777777" w:rsidR="00AE025F" w:rsidRPr="008D2C45" w:rsidRDefault="00AE025F" w:rsidP="002F213D">
            <w:pPr>
              <w:pStyle w:val="paragraph"/>
              <w:spacing w:before="0" w:beforeAutospacing="0" w:after="0" w:afterAutospacing="0"/>
              <w:jc w:val="right"/>
              <w:rPr>
                <w:rStyle w:val="normaltextrun"/>
                <w:rFonts w:ascii="Cambria" w:hAnsi="Cambria" w:cs="Calibri"/>
                <w:b/>
                <w:bCs/>
              </w:rPr>
            </w:pPr>
            <w:r w:rsidRPr="008D2C45">
              <w:rPr>
                <w:rStyle w:val="normaltextrun"/>
                <w:rFonts w:ascii="Cambria" w:hAnsi="Cambria" w:cs="Calibri"/>
                <w:b/>
                <w:bCs/>
              </w:rPr>
              <w:t>448.167.556,06 €</w:t>
            </w:r>
          </w:p>
        </w:tc>
        <w:tc>
          <w:tcPr>
            <w:tcW w:w="1500" w:type="dxa"/>
            <w:tcBorders>
              <w:top w:val="nil"/>
              <w:left w:val="nil"/>
              <w:bottom w:val="single" w:sz="6" w:space="0" w:color="auto"/>
              <w:right w:val="single" w:sz="6" w:space="0" w:color="auto"/>
            </w:tcBorders>
            <w:shd w:val="clear" w:color="auto" w:fill="D9D9D9" w:themeFill="background1" w:themeFillShade="D9"/>
            <w:vAlign w:val="center"/>
          </w:tcPr>
          <w:p w14:paraId="2305C01B" w14:textId="77777777" w:rsidR="00AE025F" w:rsidRPr="008D2C45" w:rsidRDefault="00AE025F" w:rsidP="002F213D">
            <w:pPr>
              <w:pStyle w:val="paragraph"/>
              <w:spacing w:before="0" w:beforeAutospacing="0" w:after="0" w:afterAutospacing="0"/>
              <w:jc w:val="right"/>
              <w:rPr>
                <w:rFonts w:ascii="Cambria" w:hAnsi="Cambria" w:cs="Segoe UI"/>
              </w:rPr>
            </w:pPr>
            <w:r w:rsidRPr="008D2C45">
              <w:rPr>
                <w:rStyle w:val="normaltextrun"/>
                <w:rFonts w:ascii="Cambria" w:hAnsi="Cambria" w:cs="Calibri"/>
                <w:b/>
                <w:bCs/>
              </w:rPr>
              <w:t> </w:t>
            </w:r>
            <w:r w:rsidRPr="008D2C45">
              <w:rPr>
                <w:rStyle w:val="eop"/>
                <w:rFonts w:ascii="Cambria" w:hAnsi="Cambria" w:cs="Calibri"/>
              </w:rPr>
              <w:t> </w:t>
            </w:r>
          </w:p>
        </w:tc>
      </w:tr>
    </w:tbl>
    <w:p w14:paraId="6C7FD188" w14:textId="77777777" w:rsidR="00AE025F" w:rsidRPr="008D2C45" w:rsidRDefault="00AE025F" w:rsidP="00AE025F">
      <w:pPr>
        <w:spacing w:before="120" w:line="276" w:lineRule="auto"/>
        <w:rPr>
          <w:rFonts w:ascii="Cambria" w:hAnsi="Cambria"/>
        </w:rPr>
      </w:pPr>
    </w:p>
    <w:p w14:paraId="7E964191" w14:textId="77777777" w:rsidR="00AE025F" w:rsidRPr="008D2C45" w:rsidRDefault="00AE025F" w:rsidP="00AE025F">
      <w:pPr>
        <w:spacing w:before="120" w:line="276" w:lineRule="auto"/>
        <w:rPr>
          <w:rFonts w:ascii="Cambria" w:hAnsi="Cambria"/>
        </w:rPr>
      </w:pPr>
    </w:p>
    <w:p w14:paraId="655E5EEB" w14:textId="77777777" w:rsidR="00AE025F" w:rsidRPr="008D2C45" w:rsidRDefault="00AE025F" w:rsidP="00AE025F">
      <w:pPr>
        <w:pStyle w:val="ListParagraph"/>
        <w:numPr>
          <w:ilvl w:val="0"/>
          <w:numId w:val="35"/>
        </w:numPr>
        <w:spacing w:before="120" w:after="0" w:line="276" w:lineRule="auto"/>
        <w:jc w:val="both"/>
        <w:rPr>
          <w:rFonts w:ascii="Cambria" w:hAnsi="Cambria"/>
          <w:b/>
          <w:bCs/>
          <w:color w:val="000000" w:themeColor="text1"/>
        </w:rPr>
      </w:pPr>
      <w:r w:rsidRPr="008D2C45">
        <w:rPr>
          <w:rFonts w:ascii="Cambria" w:hAnsi="Cambria"/>
          <w:b/>
          <w:bCs/>
          <w:color w:val="000000" w:themeColor="text1"/>
        </w:rPr>
        <w:t xml:space="preserve"> Ενίσχυση Δήμων και Περιφέρειας μέσω της Κυβερνητικής Επιτροπής Κρατικής Αρωγής</w:t>
      </w:r>
    </w:p>
    <w:p w14:paraId="706C5853" w14:textId="77777777" w:rsidR="00AE025F" w:rsidRPr="008D2C45" w:rsidRDefault="00AE025F" w:rsidP="00AE025F">
      <w:pPr>
        <w:spacing w:line="276" w:lineRule="auto"/>
        <w:jc w:val="both"/>
        <w:rPr>
          <w:rFonts w:ascii="Cambria" w:hAnsi="Cambria"/>
          <w:color w:val="000000" w:themeColor="text1"/>
        </w:rPr>
      </w:pPr>
      <w:r w:rsidRPr="008D2C45">
        <w:rPr>
          <w:rFonts w:ascii="Cambria" w:hAnsi="Cambria"/>
          <w:color w:val="000000" w:themeColor="text1"/>
        </w:rPr>
        <w:t>Στο πλαίσιο της ενίσχυσης των Δήμων και της Περιφέρειας μέσω της Κυβερνητικής Επιτροπής Κρατικής Αρωγής (ΚΕΚΑ), με την αξιοποίηση του Ειδικού Προγράμματος Φυσικών Καταστροφών, η ΚΕΚΑ έχει εγκρίνει τα παρακάτω ποσά, από τον Σεπτέμβριο 2023 έως και σήμερα.</w:t>
      </w:r>
    </w:p>
    <w:p w14:paraId="07856B21" w14:textId="77777777" w:rsidR="00AE025F" w:rsidRPr="008D2C45" w:rsidRDefault="00AE025F" w:rsidP="00AE025F">
      <w:pPr>
        <w:spacing w:before="120" w:line="276" w:lineRule="auto"/>
        <w:jc w:val="both"/>
        <w:rPr>
          <w:rFonts w:ascii="Cambria" w:hAnsi="Cambria"/>
          <w:b/>
          <w:bCs/>
          <w:color w:val="000000" w:themeColor="text1"/>
        </w:rPr>
      </w:pPr>
    </w:p>
    <w:tbl>
      <w:tblPr>
        <w:tblStyle w:val="TableGrid"/>
        <w:tblW w:w="0" w:type="auto"/>
        <w:jc w:val="center"/>
        <w:tblLook w:val="04A0" w:firstRow="1" w:lastRow="0" w:firstColumn="1" w:lastColumn="0" w:noHBand="0" w:noVBand="1"/>
      </w:tblPr>
      <w:tblGrid>
        <w:gridCol w:w="3397"/>
        <w:gridCol w:w="2268"/>
      </w:tblGrid>
      <w:tr w:rsidR="00AE025F" w:rsidRPr="008D2C45" w14:paraId="7657F4E0" w14:textId="77777777" w:rsidTr="00AE025F">
        <w:trPr>
          <w:jc w:val="center"/>
        </w:trPr>
        <w:tc>
          <w:tcPr>
            <w:tcW w:w="3397" w:type="dxa"/>
          </w:tcPr>
          <w:p w14:paraId="246B97F3" w14:textId="77777777" w:rsidR="00AE025F" w:rsidRPr="008D2C45" w:rsidRDefault="00AE025F" w:rsidP="002F213D">
            <w:pPr>
              <w:pStyle w:val="paragraph"/>
              <w:spacing w:before="0" w:beforeAutospacing="0" w:after="0" w:afterAutospacing="0"/>
              <w:rPr>
                <w:rStyle w:val="normaltextrun"/>
                <w:rFonts w:ascii="Cambria" w:hAnsi="Cambria" w:cs="Calibri"/>
                <w:sz w:val="24"/>
                <w:szCs w:val="24"/>
              </w:rPr>
            </w:pPr>
            <w:r w:rsidRPr="008D2C45">
              <w:rPr>
                <w:rStyle w:val="normaltextrun"/>
                <w:rFonts w:ascii="Cambria" w:hAnsi="Cambria" w:cs="Calibri"/>
                <w:sz w:val="24"/>
                <w:szCs w:val="24"/>
              </w:rPr>
              <w:t>Δήμοι Περιφέρειας Θεσσαλίας</w:t>
            </w:r>
          </w:p>
        </w:tc>
        <w:tc>
          <w:tcPr>
            <w:tcW w:w="2268" w:type="dxa"/>
          </w:tcPr>
          <w:p w14:paraId="4EB0F947" w14:textId="77777777" w:rsidR="00AE025F" w:rsidRPr="008D2C45" w:rsidRDefault="00AE025F" w:rsidP="002F213D">
            <w:pPr>
              <w:pStyle w:val="paragraph"/>
              <w:spacing w:before="0" w:beforeAutospacing="0" w:after="0" w:afterAutospacing="0"/>
              <w:jc w:val="right"/>
              <w:rPr>
                <w:rStyle w:val="normaltextrun"/>
                <w:rFonts w:ascii="Cambria" w:hAnsi="Cambria" w:cs="Calibri"/>
                <w:sz w:val="24"/>
                <w:szCs w:val="24"/>
              </w:rPr>
            </w:pPr>
            <w:r w:rsidRPr="008D2C45">
              <w:rPr>
                <w:rStyle w:val="normaltextrun"/>
                <w:rFonts w:ascii="Cambria" w:hAnsi="Cambria" w:cs="Calibri"/>
                <w:sz w:val="24"/>
                <w:szCs w:val="24"/>
              </w:rPr>
              <w:t>202.280.000 €</w:t>
            </w:r>
          </w:p>
        </w:tc>
      </w:tr>
      <w:tr w:rsidR="00AE025F" w:rsidRPr="008D2C45" w14:paraId="51EAEED9" w14:textId="77777777" w:rsidTr="00AE025F">
        <w:trPr>
          <w:jc w:val="center"/>
        </w:trPr>
        <w:tc>
          <w:tcPr>
            <w:tcW w:w="3397" w:type="dxa"/>
          </w:tcPr>
          <w:p w14:paraId="275A3EA5" w14:textId="77777777" w:rsidR="00AE025F" w:rsidRPr="008D2C45" w:rsidRDefault="00AE025F" w:rsidP="002F213D">
            <w:pPr>
              <w:pStyle w:val="paragraph"/>
              <w:spacing w:before="0" w:beforeAutospacing="0" w:after="0" w:afterAutospacing="0"/>
              <w:rPr>
                <w:rStyle w:val="normaltextrun"/>
                <w:rFonts w:ascii="Cambria" w:hAnsi="Cambria" w:cs="Calibri"/>
                <w:sz w:val="24"/>
                <w:szCs w:val="24"/>
              </w:rPr>
            </w:pPr>
            <w:r w:rsidRPr="008D2C45">
              <w:rPr>
                <w:rStyle w:val="normaltextrun"/>
                <w:rFonts w:ascii="Cambria" w:hAnsi="Cambria" w:cs="Calibri"/>
                <w:sz w:val="24"/>
                <w:szCs w:val="24"/>
              </w:rPr>
              <w:t>Περιφέρεια Θεσσαλίας</w:t>
            </w:r>
          </w:p>
        </w:tc>
        <w:tc>
          <w:tcPr>
            <w:tcW w:w="2268" w:type="dxa"/>
          </w:tcPr>
          <w:p w14:paraId="4C2210CA" w14:textId="77777777" w:rsidR="00AE025F" w:rsidRPr="008D2C45" w:rsidRDefault="00AE025F" w:rsidP="002F213D">
            <w:pPr>
              <w:pStyle w:val="paragraph"/>
              <w:spacing w:before="0" w:beforeAutospacing="0" w:after="0" w:afterAutospacing="0"/>
              <w:jc w:val="right"/>
              <w:rPr>
                <w:rStyle w:val="normaltextrun"/>
                <w:rFonts w:ascii="Cambria" w:hAnsi="Cambria" w:cs="Calibri"/>
                <w:sz w:val="24"/>
                <w:szCs w:val="24"/>
              </w:rPr>
            </w:pPr>
            <w:r w:rsidRPr="008D2C45">
              <w:rPr>
                <w:rStyle w:val="normaltextrun"/>
                <w:rFonts w:ascii="Cambria" w:hAnsi="Cambria" w:cs="Calibri"/>
                <w:sz w:val="24"/>
                <w:szCs w:val="24"/>
              </w:rPr>
              <w:t>124.320.956 €</w:t>
            </w:r>
          </w:p>
        </w:tc>
      </w:tr>
      <w:tr w:rsidR="00AE025F" w:rsidRPr="008D2C45" w14:paraId="4225DEB3" w14:textId="77777777" w:rsidTr="00AE025F">
        <w:trPr>
          <w:jc w:val="center"/>
        </w:trPr>
        <w:tc>
          <w:tcPr>
            <w:tcW w:w="3397" w:type="dxa"/>
            <w:shd w:val="clear" w:color="auto" w:fill="D9D9D9" w:themeFill="background1" w:themeFillShade="D9"/>
          </w:tcPr>
          <w:p w14:paraId="3CD9D007" w14:textId="77777777" w:rsidR="00AE025F" w:rsidRPr="008D2C45" w:rsidRDefault="00AE025F" w:rsidP="002F213D">
            <w:pPr>
              <w:pStyle w:val="paragraph"/>
              <w:spacing w:before="0" w:beforeAutospacing="0" w:after="0" w:afterAutospacing="0"/>
              <w:rPr>
                <w:rStyle w:val="normaltextrun"/>
                <w:rFonts w:ascii="Cambria" w:hAnsi="Cambria" w:cs="Calibri"/>
                <w:b/>
                <w:bCs/>
                <w:color w:val="000000" w:themeColor="text1"/>
                <w:sz w:val="24"/>
                <w:szCs w:val="24"/>
              </w:rPr>
            </w:pPr>
            <w:r w:rsidRPr="008D2C45">
              <w:rPr>
                <w:rStyle w:val="normaltextrun"/>
                <w:rFonts w:ascii="Cambria" w:hAnsi="Cambria" w:cs="Calibri"/>
                <w:b/>
                <w:bCs/>
                <w:color w:val="000000" w:themeColor="text1"/>
                <w:sz w:val="24"/>
                <w:szCs w:val="24"/>
              </w:rPr>
              <w:t>Σύνολο Εγκρίσεων</w:t>
            </w:r>
          </w:p>
        </w:tc>
        <w:tc>
          <w:tcPr>
            <w:tcW w:w="2268" w:type="dxa"/>
            <w:shd w:val="clear" w:color="auto" w:fill="D9D9D9" w:themeFill="background1" w:themeFillShade="D9"/>
          </w:tcPr>
          <w:p w14:paraId="0B0E642E" w14:textId="77777777" w:rsidR="00AE025F" w:rsidRPr="008D2C45" w:rsidRDefault="00AE025F" w:rsidP="002F213D">
            <w:pPr>
              <w:pStyle w:val="paragraph"/>
              <w:spacing w:before="0" w:beforeAutospacing="0" w:after="0" w:afterAutospacing="0"/>
              <w:jc w:val="right"/>
              <w:rPr>
                <w:rStyle w:val="normaltextrun"/>
                <w:rFonts w:ascii="Cambria" w:hAnsi="Cambria" w:cs="Calibri"/>
                <w:b/>
                <w:bCs/>
                <w:sz w:val="24"/>
                <w:szCs w:val="24"/>
              </w:rPr>
            </w:pPr>
            <w:r w:rsidRPr="008D2C45">
              <w:rPr>
                <w:rStyle w:val="normaltextrun"/>
                <w:rFonts w:ascii="Cambria" w:hAnsi="Cambria" w:cs="Calibri"/>
                <w:b/>
                <w:bCs/>
                <w:sz w:val="24"/>
                <w:szCs w:val="24"/>
              </w:rPr>
              <w:t>326.600.956 €</w:t>
            </w:r>
          </w:p>
        </w:tc>
      </w:tr>
    </w:tbl>
    <w:p w14:paraId="41DD5663" w14:textId="77777777" w:rsidR="00AE025F" w:rsidRPr="008D2C45" w:rsidRDefault="00AE025F" w:rsidP="00AE025F">
      <w:pPr>
        <w:spacing w:before="120"/>
        <w:rPr>
          <w:rFonts w:ascii="Cambria" w:hAnsi="Cambria"/>
          <w:b/>
          <w:bCs/>
          <w:color w:val="000000" w:themeColor="text1"/>
        </w:rPr>
      </w:pPr>
    </w:p>
    <w:p w14:paraId="6347FA3D" w14:textId="77777777" w:rsidR="00AE025F" w:rsidRPr="008D2C45" w:rsidRDefault="00AE025F" w:rsidP="00AE025F">
      <w:pPr>
        <w:jc w:val="both"/>
        <w:rPr>
          <w:rFonts w:ascii="Cambria" w:hAnsi="Cambria"/>
        </w:rPr>
      </w:pPr>
    </w:p>
    <w:p w14:paraId="4FCA7432" w14:textId="77777777" w:rsidR="0056160B" w:rsidRDefault="0056160B" w:rsidP="00AE025F">
      <w:pPr>
        <w:jc w:val="center"/>
        <w:rPr>
          <w:rFonts w:ascii="Cambria" w:hAnsi="Cambria"/>
          <w:b/>
        </w:rPr>
      </w:pPr>
    </w:p>
    <w:p w14:paraId="21507612" w14:textId="77777777" w:rsidR="0056160B" w:rsidRDefault="0056160B" w:rsidP="00AE025F">
      <w:pPr>
        <w:jc w:val="center"/>
        <w:rPr>
          <w:rFonts w:ascii="Cambria" w:hAnsi="Cambria"/>
          <w:b/>
        </w:rPr>
      </w:pPr>
    </w:p>
    <w:p w14:paraId="5B57F40A" w14:textId="24D88419" w:rsidR="00AE025F" w:rsidRPr="008D2C45" w:rsidRDefault="00AE025F" w:rsidP="00AE025F">
      <w:pPr>
        <w:jc w:val="center"/>
        <w:rPr>
          <w:rFonts w:ascii="Cambria" w:hAnsi="Cambria"/>
          <w:b/>
        </w:rPr>
      </w:pPr>
      <w:r w:rsidRPr="008D2C45">
        <w:rPr>
          <w:rFonts w:ascii="Cambria" w:hAnsi="Cambria"/>
          <w:b/>
          <w:lang w:val="en-US"/>
        </w:rPr>
        <w:t>Daniel</w:t>
      </w:r>
      <w:r w:rsidRPr="008D2C45">
        <w:rPr>
          <w:rFonts w:ascii="Cambria" w:hAnsi="Cambria"/>
          <w:b/>
        </w:rPr>
        <w:t xml:space="preserve"> ΥΠΟΥΡΓΕΙΟ ΜΕΤΑΦΟΡΩΝ ΚΑΙ ΥΠΟΔΟΜΩΝ</w:t>
      </w:r>
    </w:p>
    <w:p w14:paraId="583A0377" w14:textId="77777777" w:rsidR="00AE025F" w:rsidRPr="008D2C45" w:rsidRDefault="00AE025F" w:rsidP="00AE025F">
      <w:pPr>
        <w:jc w:val="both"/>
        <w:rPr>
          <w:rFonts w:ascii="Cambria" w:hAnsi="Cambria"/>
        </w:rPr>
      </w:pPr>
      <w:r w:rsidRPr="008D2C45">
        <w:rPr>
          <w:rFonts w:ascii="Cambria" w:hAnsi="Cambria"/>
        </w:rPr>
        <w:t xml:space="preserve">Η κακοκαιρία </w:t>
      </w:r>
      <w:r w:rsidRPr="008D2C45">
        <w:rPr>
          <w:rFonts w:ascii="Cambria" w:hAnsi="Cambria"/>
          <w:lang w:val="en-US"/>
        </w:rPr>
        <w:t>Daniel</w:t>
      </w:r>
      <w:r w:rsidRPr="008D2C45">
        <w:rPr>
          <w:rFonts w:ascii="Cambria" w:hAnsi="Cambria"/>
        </w:rPr>
        <w:t xml:space="preserve"> είχε ως επίπτωση να προκληθούν πρωτοφανούς έκτασης ζημιές στο οδικό και σιδηροδρομικό δίκτυο πέντε περιφερειακών ενοτήτων στη Θεσσαλία και τη Στερεά Ελλάδα. </w:t>
      </w:r>
    </w:p>
    <w:p w14:paraId="44A3D248" w14:textId="77777777" w:rsidR="00AE025F" w:rsidRPr="008D2C45" w:rsidRDefault="00AE025F" w:rsidP="00AE025F">
      <w:pPr>
        <w:jc w:val="both"/>
        <w:rPr>
          <w:rFonts w:ascii="Cambria" w:hAnsi="Cambria"/>
        </w:rPr>
      </w:pPr>
      <w:r w:rsidRPr="008D2C45">
        <w:rPr>
          <w:rFonts w:ascii="Cambria" w:hAnsi="Cambria"/>
        </w:rPr>
        <w:t xml:space="preserve">Δικαίως οι πολίτες ζητούν την αποκατάσταση των καταστροφών άμεσα και υπολογίζουν, εύλογα, τον χρόνο από την επόμενη ημέρα της καταστροφής. </w:t>
      </w:r>
    </w:p>
    <w:p w14:paraId="5BC6FD21" w14:textId="77777777" w:rsidR="00AE025F" w:rsidRPr="008D2C45" w:rsidRDefault="00AE025F" w:rsidP="00AE025F">
      <w:pPr>
        <w:jc w:val="both"/>
        <w:rPr>
          <w:rFonts w:ascii="Cambria" w:hAnsi="Cambria"/>
        </w:rPr>
      </w:pPr>
      <w:r w:rsidRPr="008D2C45">
        <w:rPr>
          <w:rFonts w:ascii="Cambria" w:hAnsi="Cambria"/>
        </w:rPr>
        <w:t xml:space="preserve">Εκ των πραγμάτων, όμως, για να ξεκινήσουν τα έργα αποκατάστασης ήταν αναγκαίο να προηγηθούν συγκεκριμένα βήματα: </w:t>
      </w:r>
    </w:p>
    <w:p w14:paraId="7BE9C72E" w14:textId="77777777" w:rsidR="00AE025F" w:rsidRPr="008D2C45" w:rsidRDefault="00AE025F" w:rsidP="00AE025F">
      <w:pPr>
        <w:pStyle w:val="ListParagraph"/>
        <w:numPr>
          <w:ilvl w:val="0"/>
          <w:numId w:val="38"/>
        </w:numPr>
        <w:spacing w:after="200" w:line="276" w:lineRule="auto"/>
        <w:jc w:val="both"/>
        <w:rPr>
          <w:rFonts w:ascii="Cambria" w:hAnsi="Cambria"/>
        </w:rPr>
      </w:pPr>
      <w:r w:rsidRPr="008D2C45">
        <w:rPr>
          <w:rFonts w:ascii="Cambria" w:hAnsi="Cambria"/>
        </w:rPr>
        <w:t xml:space="preserve">Πρώτον, να απομακρυνθεί ένας τεράστιος όγκος φερτών υλικών από τις πλημμύρες. Υπενθυμίζεται ότι γι΄ αυτόν τον λόγο είχε διακοπεί για τρεις μήνες η σιδηροδρομική γραμμή και είχαν συσσωρευθεί τα εμπορεύματα στο λιμάνι του Πειραιά. </w:t>
      </w:r>
    </w:p>
    <w:p w14:paraId="528B3B00" w14:textId="77777777" w:rsidR="00AE025F" w:rsidRPr="008D2C45" w:rsidRDefault="00AE025F" w:rsidP="00AE025F">
      <w:pPr>
        <w:pStyle w:val="ListParagraph"/>
        <w:numPr>
          <w:ilvl w:val="0"/>
          <w:numId w:val="38"/>
        </w:numPr>
        <w:spacing w:after="200" w:line="276" w:lineRule="auto"/>
        <w:jc w:val="both"/>
        <w:rPr>
          <w:rFonts w:ascii="Cambria" w:hAnsi="Cambria"/>
        </w:rPr>
      </w:pPr>
      <w:r w:rsidRPr="008D2C45">
        <w:rPr>
          <w:rFonts w:ascii="Cambria" w:hAnsi="Cambria"/>
        </w:rPr>
        <w:t xml:space="preserve">Δεύτερον, να γίνει αποτίμηση της καταστροφής από τους μηχανικούς και να εκτιμηθεί το μέγεθος της ζημιάς, η οποία αφορά 1.007 σημεία στο οδικό δίκτυο και ξεπερνούσε – κατά πολύ - τα 100 χιλιόμετρα στο σιδηροδρομικό. </w:t>
      </w:r>
    </w:p>
    <w:p w14:paraId="4263629D" w14:textId="77777777" w:rsidR="00AE025F" w:rsidRPr="008D2C45" w:rsidRDefault="00AE025F" w:rsidP="00AE025F">
      <w:pPr>
        <w:pStyle w:val="ListParagraph"/>
        <w:numPr>
          <w:ilvl w:val="0"/>
          <w:numId w:val="38"/>
        </w:numPr>
        <w:spacing w:after="200" w:line="276" w:lineRule="auto"/>
        <w:jc w:val="both"/>
        <w:rPr>
          <w:rFonts w:ascii="Cambria" w:hAnsi="Cambria"/>
        </w:rPr>
      </w:pPr>
      <w:r w:rsidRPr="008D2C45">
        <w:rPr>
          <w:rFonts w:ascii="Cambria" w:hAnsi="Cambria"/>
        </w:rPr>
        <w:lastRenderedPageBreak/>
        <w:t xml:space="preserve">Τρίτον, να εξασφαλισθούν οι απαραίτητοι πόροι ώστε να προχωρήσει η δημοπράτηση, ενιαία, τόσο για τα οδικά όσο και για τα σιδηροδρομικά έργα. Αναφερόμαστε σε ποσό 1,35 δισ. ευρώ, σχεδόν όσο το κόστος των μέτρων που ανακοινώθηκαν στη ΔΕΘ. Μάλιστα, υπήρξε πρωτοβουλία του Πρωθυπουργού στην ΕΕ και εξασφαλίσθηκαν 600 εκατ. ευρώ από το  Ταμείο Ανάκαμψης και Ανθεκτικότητας, ενώ τα υπόλοιπα καλύπτονται από εθνικούς πόρους.  </w:t>
      </w:r>
    </w:p>
    <w:p w14:paraId="79CB0549" w14:textId="77777777" w:rsidR="00AE025F" w:rsidRPr="008D2C45" w:rsidRDefault="00AE025F" w:rsidP="00AE025F">
      <w:pPr>
        <w:pStyle w:val="ListParagraph"/>
        <w:numPr>
          <w:ilvl w:val="0"/>
          <w:numId w:val="38"/>
        </w:numPr>
        <w:spacing w:after="200" w:line="276" w:lineRule="auto"/>
        <w:jc w:val="both"/>
        <w:rPr>
          <w:rFonts w:ascii="Cambria" w:hAnsi="Cambria"/>
        </w:rPr>
      </w:pPr>
      <w:r w:rsidRPr="008D2C45">
        <w:rPr>
          <w:rFonts w:ascii="Cambria" w:hAnsi="Cambria"/>
        </w:rPr>
        <w:t>Τέταρτον, έπρεπε να γίνουν οι σχετικοί διαγωνισμοί, με όρους διαφάνειας και με την ταχύτερη δυνατή διαδικασία, την οποία ακολούθησε η κυβέρνηση με έκτακτη νομοθετική ρύθμιση.</w:t>
      </w:r>
    </w:p>
    <w:p w14:paraId="7C96C311" w14:textId="77777777" w:rsidR="00AE025F" w:rsidRPr="008D2C45" w:rsidRDefault="00AE025F" w:rsidP="00AE025F">
      <w:pPr>
        <w:jc w:val="both"/>
        <w:rPr>
          <w:rFonts w:ascii="Cambria" w:hAnsi="Cambria"/>
        </w:rPr>
      </w:pPr>
      <w:r w:rsidRPr="008D2C45">
        <w:rPr>
          <w:rFonts w:ascii="Cambria" w:hAnsi="Cambria"/>
        </w:rPr>
        <w:t xml:space="preserve">Οι σχετικές συμβάσεις υπεγράφησαν τον Απρίλιο, τα έργα εκτελούνται με στόχο να ολοκληρωθούν στο προβλεπόμενο χρονοδιάγραμμα και με όρους υψηλότερης ανθεκτικότητας. </w:t>
      </w:r>
    </w:p>
    <w:p w14:paraId="3EC665A0" w14:textId="77777777" w:rsidR="00AE025F" w:rsidRPr="008D2C45" w:rsidRDefault="00AE025F" w:rsidP="00AE025F">
      <w:pPr>
        <w:jc w:val="both"/>
        <w:rPr>
          <w:rFonts w:ascii="Cambria" w:hAnsi="Cambria"/>
        </w:rPr>
      </w:pPr>
      <w:r w:rsidRPr="008D2C45">
        <w:rPr>
          <w:rFonts w:ascii="Cambria" w:hAnsi="Cambria"/>
        </w:rPr>
        <w:t>Υπενθυμίζεται, δε, ότι δόθηκε άμεση προτεραιότητα στην επαναλειτουργία των 33 σχολικών μονάδων που επλήγησαν, οι οποίες αποκαταστάθηκαν με δωρεά της Ένωσης Ελλήνων Εφοπλιστών και είναι σήμερα σε καλύτερη κατάσταση σχέση με πριν από την κακοκαιρία.</w:t>
      </w:r>
    </w:p>
    <w:p w14:paraId="5C358E1B" w14:textId="77777777" w:rsidR="00AE025F" w:rsidRPr="008D2C45" w:rsidRDefault="00AE025F" w:rsidP="00AE025F">
      <w:pPr>
        <w:jc w:val="both"/>
        <w:rPr>
          <w:rFonts w:ascii="Cambria" w:hAnsi="Cambria"/>
        </w:rPr>
      </w:pPr>
      <w:r w:rsidRPr="008D2C45">
        <w:rPr>
          <w:rFonts w:ascii="Cambria" w:hAnsi="Cambria"/>
        </w:rPr>
        <w:t xml:space="preserve">Συνεπώς, με δεδομένη την έκταση της καταστροφής και το ύψος των πόρων που απαιτούνται για τα έργα, το ελληνικό δημόσιο κλήθηκε να αντιμετωπίσει μια πρωτόγνωρη κατάσταση και συνεχίζουμε αυτή την προσπάθεια, ώστε να αποκατασταθούν οι υποδομές που καταστράφηκαν.    </w:t>
      </w:r>
    </w:p>
    <w:p w14:paraId="701F0AA2" w14:textId="77777777" w:rsidR="005A6227" w:rsidRPr="00846B86" w:rsidRDefault="005A6227" w:rsidP="005A6227">
      <w:pPr>
        <w:spacing w:line="276" w:lineRule="auto"/>
        <w:jc w:val="both"/>
        <w:rPr>
          <w:rFonts w:ascii="Cambria" w:hAnsi="Cambria"/>
        </w:rPr>
      </w:pPr>
    </w:p>
    <w:p w14:paraId="3BB7AD3B" w14:textId="77777777" w:rsidR="004C0207" w:rsidRPr="00487E76" w:rsidRDefault="004C0207" w:rsidP="00C6769F">
      <w:pPr>
        <w:spacing w:before="45" w:after="45" w:line="276" w:lineRule="auto"/>
        <w:jc w:val="both"/>
        <w:rPr>
          <w:rFonts w:ascii="Cambria" w:hAnsi="Cambria" w:cs="Times New Roman"/>
          <w:color w:val="000000"/>
          <w:kern w:val="0"/>
        </w:rPr>
      </w:pPr>
    </w:p>
    <w:sectPr w:rsidR="004C0207" w:rsidRPr="00487E76" w:rsidSect="00E8363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8B1FB" w14:textId="77777777" w:rsidR="000E7BE5" w:rsidRDefault="000E7BE5">
      <w:pPr>
        <w:spacing w:after="0" w:line="240" w:lineRule="auto"/>
      </w:pPr>
      <w:r>
        <w:separator/>
      </w:r>
    </w:p>
  </w:endnote>
  <w:endnote w:type="continuationSeparator" w:id="0">
    <w:p w14:paraId="0F4F5FE6" w14:textId="77777777" w:rsidR="000E7BE5" w:rsidRDefault="000E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UICTFontTextStyleEmphasizedBody">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BA677" w14:textId="77777777" w:rsidR="004F72D8" w:rsidRDefault="00903DCF">
    <w:pPr>
      <w:pBdr>
        <w:top w:val="nil"/>
        <w:left w:val="nil"/>
        <w:bottom w:val="nil"/>
        <w:right w:val="nil"/>
        <w:between w:val="nil"/>
      </w:pBdr>
      <w:tabs>
        <w:tab w:val="center" w:pos="4680"/>
        <w:tab w:val="right" w:pos="9360"/>
      </w:tabs>
      <w:ind w:hanging="2"/>
      <w:jc w:val="right"/>
      <w:rPr>
        <w:color w:val="000000"/>
        <w:sz w:val="22"/>
        <w:szCs w:val="22"/>
      </w:rPr>
    </w:pPr>
    <w:r>
      <w:rPr>
        <w:color w:val="000000"/>
        <w:sz w:val="22"/>
        <w:szCs w:val="22"/>
      </w:rPr>
      <w:fldChar w:fldCharType="begin"/>
    </w:r>
    <w:r w:rsidR="00431EC2">
      <w:rPr>
        <w:color w:val="000000"/>
        <w:sz w:val="22"/>
        <w:szCs w:val="22"/>
      </w:rPr>
      <w:instrText>PAGE</w:instrText>
    </w:r>
    <w:r>
      <w:rPr>
        <w:color w:val="000000"/>
        <w:sz w:val="22"/>
        <w:szCs w:val="22"/>
      </w:rPr>
      <w:fldChar w:fldCharType="separate"/>
    </w:r>
    <w:r w:rsidR="00753E10">
      <w:rPr>
        <w:noProof/>
        <w:color w:val="000000"/>
        <w:sz w:val="22"/>
        <w:szCs w:val="22"/>
      </w:rPr>
      <w:t>4</w:t>
    </w:r>
    <w:r>
      <w:rPr>
        <w:color w:val="000000"/>
        <w:sz w:val="22"/>
        <w:szCs w:val="22"/>
      </w:rPr>
      <w:fldChar w:fldCharType="end"/>
    </w:r>
  </w:p>
  <w:p w14:paraId="399DF02F" w14:textId="77777777" w:rsidR="004F72D8" w:rsidRDefault="004F72D8">
    <w:pPr>
      <w:pBdr>
        <w:top w:val="nil"/>
        <w:left w:val="nil"/>
        <w:bottom w:val="nil"/>
        <w:right w:val="nil"/>
        <w:between w:val="nil"/>
      </w:pBdr>
      <w:tabs>
        <w:tab w:val="center" w:pos="4680"/>
        <w:tab w:val="right" w:pos="9360"/>
      </w:tabs>
      <w:ind w:hanging="2"/>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A7CC6" w14:textId="77777777" w:rsidR="000E7BE5" w:rsidRDefault="000E7BE5">
      <w:pPr>
        <w:spacing w:after="0" w:line="240" w:lineRule="auto"/>
      </w:pPr>
      <w:r>
        <w:separator/>
      </w:r>
    </w:p>
  </w:footnote>
  <w:footnote w:type="continuationSeparator" w:id="0">
    <w:p w14:paraId="0198E21A" w14:textId="77777777" w:rsidR="000E7BE5" w:rsidRDefault="000E7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3633"/>
    <w:multiLevelType w:val="hybridMultilevel"/>
    <w:tmpl w:val="9A18FE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205145"/>
    <w:multiLevelType w:val="hybridMultilevel"/>
    <w:tmpl w:val="3B4650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4364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C71D9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10C7C"/>
    <w:multiLevelType w:val="hybridMultilevel"/>
    <w:tmpl w:val="585A05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6E758AA"/>
    <w:multiLevelType w:val="hybridMultilevel"/>
    <w:tmpl w:val="55C60B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8DD1637"/>
    <w:multiLevelType w:val="hybridMultilevel"/>
    <w:tmpl w:val="D9701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52099B"/>
    <w:multiLevelType w:val="hybridMultilevel"/>
    <w:tmpl w:val="D812AA24"/>
    <w:lvl w:ilvl="0" w:tplc="0408000F">
      <w:start w:val="1"/>
      <w:numFmt w:val="decimal"/>
      <w:lvlText w:val="%1."/>
      <w:lvlJc w:val="left"/>
      <w:pPr>
        <w:ind w:left="720" w:hanging="360"/>
      </w:pPr>
      <w:rPr>
        <w:rFonts w:hint="default"/>
      </w:rPr>
    </w:lvl>
    <w:lvl w:ilvl="1" w:tplc="04080001">
      <w:start w:val="1"/>
      <w:numFmt w:val="bullet"/>
      <w:lvlText w:val=""/>
      <w:lvlJc w:val="left"/>
      <w:pPr>
        <w:ind w:left="720" w:hanging="360"/>
      </w:pPr>
      <w:rPr>
        <w:rFonts w:ascii="Symbol" w:hAnsi="Symbol"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45C175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7A5144"/>
    <w:multiLevelType w:val="hybridMultilevel"/>
    <w:tmpl w:val="C9DA67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AA36469"/>
    <w:multiLevelType w:val="hybridMultilevel"/>
    <w:tmpl w:val="2D4E6306"/>
    <w:lvl w:ilvl="0" w:tplc="FFFFFFFF">
      <w:numFmt w:val="bullet"/>
      <w:lvlText w:val="-"/>
      <w:lvlJc w:val="left"/>
      <w:pPr>
        <w:ind w:left="720" w:hanging="360"/>
      </w:pPr>
      <w:rPr>
        <w:rFonts w:ascii="Cambria" w:eastAsiaTheme="minorEastAsia"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E00FAF"/>
    <w:multiLevelType w:val="hybridMultilevel"/>
    <w:tmpl w:val="2646C512"/>
    <w:lvl w:ilvl="0" w:tplc="FFFFFFFF">
      <w:numFmt w:val="bullet"/>
      <w:lvlText w:val="-"/>
      <w:lvlJc w:val="left"/>
      <w:pPr>
        <w:ind w:left="720" w:hanging="360"/>
      </w:pPr>
      <w:rPr>
        <w:rFonts w:ascii="Cambria" w:eastAsiaTheme="minorEastAsia"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B7561BC"/>
    <w:multiLevelType w:val="hybridMultilevel"/>
    <w:tmpl w:val="5172DB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CD63C9E"/>
    <w:multiLevelType w:val="hybridMultilevel"/>
    <w:tmpl w:val="631452F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2FA46DEF"/>
    <w:multiLevelType w:val="hybridMultilevel"/>
    <w:tmpl w:val="70785006"/>
    <w:lvl w:ilvl="0" w:tplc="FFFFFFFF">
      <w:numFmt w:val="bullet"/>
      <w:lvlText w:val="-"/>
      <w:lvlJc w:val="left"/>
      <w:pPr>
        <w:ind w:left="720" w:hanging="360"/>
      </w:pPr>
      <w:rPr>
        <w:rFonts w:ascii="Cambria" w:eastAsiaTheme="minorEastAsia"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28254E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C3210D"/>
    <w:multiLevelType w:val="hybridMultilevel"/>
    <w:tmpl w:val="1958A94E"/>
    <w:lvl w:ilvl="0" w:tplc="2DD001B0">
      <w:start w:val="1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73401ED"/>
    <w:multiLevelType w:val="hybridMultilevel"/>
    <w:tmpl w:val="1C8C79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FF3002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DF52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AA51D4"/>
    <w:multiLevelType w:val="hybridMultilevel"/>
    <w:tmpl w:val="D8386F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B984546"/>
    <w:multiLevelType w:val="hybridMultilevel"/>
    <w:tmpl w:val="8782299E"/>
    <w:lvl w:ilvl="0" w:tplc="CA780008">
      <w:numFmt w:val="bullet"/>
      <w:lvlText w:val="-"/>
      <w:lvlJc w:val="left"/>
      <w:pPr>
        <w:ind w:left="720" w:hanging="360"/>
      </w:pPr>
      <w:rPr>
        <w:rFonts w:ascii="Cambria" w:eastAsiaTheme="minorEastAsia"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80720C"/>
    <w:multiLevelType w:val="hybridMultilevel"/>
    <w:tmpl w:val="EB8051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2693B54"/>
    <w:multiLevelType w:val="hybridMultilevel"/>
    <w:tmpl w:val="896C73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7842D9A"/>
    <w:multiLevelType w:val="hybridMultilevel"/>
    <w:tmpl w:val="6A281C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8A14FE2"/>
    <w:multiLevelType w:val="hybridMultilevel"/>
    <w:tmpl w:val="BBC028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9FD0C69"/>
    <w:multiLevelType w:val="hybridMultilevel"/>
    <w:tmpl w:val="8A06A4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A3D1DB1"/>
    <w:multiLevelType w:val="hybridMultilevel"/>
    <w:tmpl w:val="379A9806"/>
    <w:lvl w:ilvl="0" w:tplc="0408000B">
      <w:start w:val="1"/>
      <w:numFmt w:val="bullet"/>
      <w:lvlText w:val=""/>
      <w:lvlJc w:val="left"/>
      <w:pPr>
        <w:ind w:left="1788" w:hanging="360"/>
      </w:pPr>
      <w:rPr>
        <w:rFonts w:ascii="Wingdings" w:hAnsi="Wingdings" w:hint="default"/>
      </w:rPr>
    </w:lvl>
    <w:lvl w:ilvl="1" w:tplc="FFFFFFFF" w:tentative="1">
      <w:start w:val="1"/>
      <w:numFmt w:val="bullet"/>
      <w:lvlText w:val="o"/>
      <w:lvlJc w:val="left"/>
      <w:pPr>
        <w:ind w:left="2508" w:hanging="360"/>
      </w:pPr>
      <w:rPr>
        <w:rFonts w:ascii="Courier New" w:hAnsi="Courier New" w:cs="Courier New"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28" w15:restartNumberingAfterBreak="0">
    <w:nsid w:val="5F5229A6"/>
    <w:multiLevelType w:val="hybridMultilevel"/>
    <w:tmpl w:val="F96A1D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2616278"/>
    <w:multiLevelType w:val="hybridMultilevel"/>
    <w:tmpl w:val="614635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6AA4FE2"/>
    <w:multiLevelType w:val="hybridMultilevel"/>
    <w:tmpl w:val="D1D6A7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8334725"/>
    <w:multiLevelType w:val="hybridMultilevel"/>
    <w:tmpl w:val="464426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B4877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142075"/>
    <w:multiLevelType w:val="hybridMultilevel"/>
    <w:tmpl w:val="5BE25E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03160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3A2909"/>
    <w:multiLevelType w:val="hybridMultilevel"/>
    <w:tmpl w:val="005635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5051A5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C93C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5050883">
    <w:abstractNumId w:val="20"/>
  </w:num>
  <w:num w:numId="2" w16cid:durableId="2111389632">
    <w:abstractNumId w:val="12"/>
  </w:num>
  <w:num w:numId="3" w16cid:durableId="250555152">
    <w:abstractNumId w:val="18"/>
  </w:num>
  <w:num w:numId="4" w16cid:durableId="1329094107">
    <w:abstractNumId w:val="15"/>
  </w:num>
  <w:num w:numId="5" w16cid:durableId="715668575">
    <w:abstractNumId w:val="19"/>
  </w:num>
  <w:num w:numId="6" w16cid:durableId="121072362">
    <w:abstractNumId w:val="21"/>
  </w:num>
  <w:num w:numId="7" w16cid:durableId="1302999938">
    <w:abstractNumId w:val="10"/>
  </w:num>
  <w:num w:numId="8" w16cid:durableId="945774471">
    <w:abstractNumId w:val="1"/>
  </w:num>
  <w:num w:numId="9" w16cid:durableId="1289630508">
    <w:abstractNumId w:val="33"/>
  </w:num>
  <w:num w:numId="10" w16cid:durableId="416288016">
    <w:abstractNumId w:val="6"/>
  </w:num>
  <w:num w:numId="11" w16cid:durableId="2015649182">
    <w:abstractNumId w:val="32"/>
  </w:num>
  <w:num w:numId="12" w16cid:durableId="1567958784">
    <w:abstractNumId w:val="4"/>
  </w:num>
  <w:num w:numId="13" w16cid:durableId="1913807656">
    <w:abstractNumId w:val="25"/>
  </w:num>
  <w:num w:numId="14" w16cid:durableId="680083587">
    <w:abstractNumId w:val="11"/>
  </w:num>
  <w:num w:numId="15" w16cid:durableId="866648931">
    <w:abstractNumId w:val="14"/>
  </w:num>
  <w:num w:numId="16" w16cid:durableId="489097968">
    <w:abstractNumId w:val="28"/>
  </w:num>
  <w:num w:numId="17" w16cid:durableId="1670212829">
    <w:abstractNumId w:val="3"/>
  </w:num>
  <w:num w:numId="18" w16cid:durableId="580874347">
    <w:abstractNumId w:val="34"/>
  </w:num>
  <w:num w:numId="19" w16cid:durableId="150292965">
    <w:abstractNumId w:val="37"/>
  </w:num>
  <w:num w:numId="20" w16cid:durableId="2071728853">
    <w:abstractNumId w:val="30"/>
  </w:num>
  <w:num w:numId="21" w16cid:durableId="582834765">
    <w:abstractNumId w:val="17"/>
  </w:num>
  <w:num w:numId="22" w16cid:durableId="1697465254">
    <w:abstractNumId w:val="26"/>
  </w:num>
  <w:num w:numId="23" w16cid:durableId="1425110568">
    <w:abstractNumId w:val="24"/>
  </w:num>
  <w:num w:numId="24" w16cid:durableId="1355182366">
    <w:abstractNumId w:val="8"/>
  </w:num>
  <w:num w:numId="25" w16cid:durableId="1916042157">
    <w:abstractNumId w:val="29"/>
  </w:num>
  <w:num w:numId="26" w16cid:durableId="1514301042">
    <w:abstractNumId w:val="0"/>
  </w:num>
  <w:num w:numId="27" w16cid:durableId="126823535">
    <w:abstractNumId w:val="9"/>
  </w:num>
  <w:num w:numId="28" w16cid:durableId="440993800">
    <w:abstractNumId w:val="31"/>
  </w:num>
  <w:num w:numId="29" w16cid:durableId="1914924058">
    <w:abstractNumId w:val="2"/>
  </w:num>
  <w:num w:numId="30" w16cid:durableId="1758864499">
    <w:abstractNumId w:val="36"/>
  </w:num>
  <w:num w:numId="31" w16cid:durableId="118494188">
    <w:abstractNumId w:val="35"/>
  </w:num>
  <w:num w:numId="32" w16cid:durableId="1735661746">
    <w:abstractNumId w:val="22"/>
  </w:num>
  <w:num w:numId="33" w16cid:durableId="1847204495">
    <w:abstractNumId w:val="5"/>
  </w:num>
  <w:num w:numId="34" w16cid:durableId="253245981">
    <w:abstractNumId w:val="23"/>
  </w:num>
  <w:num w:numId="35" w16cid:durableId="1828785659">
    <w:abstractNumId w:val="7"/>
  </w:num>
  <w:num w:numId="36" w16cid:durableId="1076827187">
    <w:abstractNumId w:val="13"/>
  </w:num>
  <w:num w:numId="37" w16cid:durableId="1312639127">
    <w:abstractNumId w:val="27"/>
  </w:num>
  <w:num w:numId="38" w16cid:durableId="1081869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35"/>
    <w:rsid w:val="0000544D"/>
    <w:rsid w:val="0000658A"/>
    <w:rsid w:val="0002273E"/>
    <w:rsid w:val="000300DA"/>
    <w:rsid w:val="00032BA3"/>
    <w:rsid w:val="000348F4"/>
    <w:rsid w:val="000427D8"/>
    <w:rsid w:val="00045D11"/>
    <w:rsid w:val="0004759B"/>
    <w:rsid w:val="0005627F"/>
    <w:rsid w:val="00057298"/>
    <w:rsid w:val="000574B9"/>
    <w:rsid w:val="00064C31"/>
    <w:rsid w:val="00066973"/>
    <w:rsid w:val="00073DE2"/>
    <w:rsid w:val="000812CB"/>
    <w:rsid w:val="000868FF"/>
    <w:rsid w:val="000A1AA5"/>
    <w:rsid w:val="000B2D6D"/>
    <w:rsid w:val="000B608E"/>
    <w:rsid w:val="000B6178"/>
    <w:rsid w:val="000D0B05"/>
    <w:rsid w:val="000D5D67"/>
    <w:rsid w:val="000E0080"/>
    <w:rsid w:val="000E52EE"/>
    <w:rsid w:val="000E7BE5"/>
    <w:rsid w:val="000F3B77"/>
    <w:rsid w:val="000F5FDB"/>
    <w:rsid w:val="00101504"/>
    <w:rsid w:val="00103FB4"/>
    <w:rsid w:val="00113720"/>
    <w:rsid w:val="00114324"/>
    <w:rsid w:val="0012011A"/>
    <w:rsid w:val="001232DB"/>
    <w:rsid w:val="001246DD"/>
    <w:rsid w:val="00146491"/>
    <w:rsid w:val="0018137F"/>
    <w:rsid w:val="00186984"/>
    <w:rsid w:val="00192179"/>
    <w:rsid w:val="00193D09"/>
    <w:rsid w:val="0019787C"/>
    <w:rsid w:val="00197A2E"/>
    <w:rsid w:val="001B626D"/>
    <w:rsid w:val="001C0C65"/>
    <w:rsid w:val="001C0F38"/>
    <w:rsid w:val="001C5526"/>
    <w:rsid w:val="001D3C69"/>
    <w:rsid w:val="001E04D1"/>
    <w:rsid w:val="001E288D"/>
    <w:rsid w:val="001E7405"/>
    <w:rsid w:val="001F46E2"/>
    <w:rsid w:val="00202C7A"/>
    <w:rsid w:val="0020474D"/>
    <w:rsid w:val="00204A78"/>
    <w:rsid w:val="002107D0"/>
    <w:rsid w:val="002140D1"/>
    <w:rsid w:val="00215D22"/>
    <w:rsid w:val="00220235"/>
    <w:rsid w:val="0023263B"/>
    <w:rsid w:val="002368A3"/>
    <w:rsid w:val="002448BC"/>
    <w:rsid w:val="002458D3"/>
    <w:rsid w:val="00247955"/>
    <w:rsid w:val="00252F51"/>
    <w:rsid w:val="00261FD0"/>
    <w:rsid w:val="0026628A"/>
    <w:rsid w:val="00275053"/>
    <w:rsid w:val="00291096"/>
    <w:rsid w:val="0029622C"/>
    <w:rsid w:val="00297239"/>
    <w:rsid w:val="002B3FBD"/>
    <w:rsid w:val="002E1EB4"/>
    <w:rsid w:val="002E257D"/>
    <w:rsid w:val="002E3D4F"/>
    <w:rsid w:val="002E725E"/>
    <w:rsid w:val="002E741F"/>
    <w:rsid w:val="002E7758"/>
    <w:rsid w:val="002F6000"/>
    <w:rsid w:val="00311369"/>
    <w:rsid w:val="00312210"/>
    <w:rsid w:val="00315D12"/>
    <w:rsid w:val="00321BFC"/>
    <w:rsid w:val="00322CDD"/>
    <w:rsid w:val="003246FA"/>
    <w:rsid w:val="003272F6"/>
    <w:rsid w:val="00327CF1"/>
    <w:rsid w:val="003328C2"/>
    <w:rsid w:val="003343EC"/>
    <w:rsid w:val="003375C8"/>
    <w:rsid w:val="00341DCF"/>
    <w:rsid w:val="00350764"/>
    <w:rsid w:val="00350954"/>
    <w:rsid w:val="00363616"/>
    <w:rsid w:val="00370FC8"/>
    <w:rsid w:val="00371001"/>
    <w:rsid w:val="003736D3"/>
    <w:rsid w:val="00377BC8"/>
    <w:rsid w:val="003824CD"/>
    <w:rsid w:val="00395E12"/>
    <w:rsid w:val="003A159A"/>
    <w:rsid w:val="003A392F"/>
    <w:rsid w:val="003A6467"/>
    <w:rsid w:val="003A7BDB"/>
    <w:rsid w:val="003B792E"/>
    <w:rsid w:val="003C1985"/>
    <w:rsid w:val="003C4BD0"/>
    <w:rsid w:val="003C5764"/>
    <w:rsid w:val="003D0A7F"/>
    <w:rsid w:val="003E0135"/>
    <w:rsid w:val="003E15D2"/>
    <w:rsid w:val="003E79D7"/>
    <w:rsid w:val="003F07B6"/>
    <w:rsid w:val="003F1FA8"/>
    <w:rsid w:val="003F2AA6"/>
    <w:rsid w:val="0041002D"/>
    <w:rsid w:val="004128F5"/>
    <w:rsid w:val="00412D6C"/>
    <w:rsid w:val="00415452"/>
    <w:rsid w:val="00420E39"/>
    <w:rsid w:val="00423A7E"/>
    <w:rsid w:val="004250ED"/>
    <w:rsid w:val="00431EC2"/>
    <w:rsid w:val="00432581"/>
    <w:rsid w:val="00434944"/>
    <w:rsid w:val="00434F36"/>
    <w:rsid w:val="0044274D"/>
    <w:rsid w:val="004449FD"/>
    <w:rsid w:val="004477D9"/>
    <w:rsid w:val="00453C98"/>
    <w:rsid w:val="00464420"/>
    <w:rsid w:val="00464F95"/>
    <w:rsid w:val="00470F73"/>
    <w:rsid w:val="00474CC8"/>
    <w:rsid w:val="00475769"/>
    <w:rsid w:val="0048073C"/>
    <w:rsid w:val="00487CA9"/>
    <w:rsid w:val="00487E76"/>
    <w:rsid w:val="00491808"/>
    <w:rsid w:val="004947A9"/>
    <w:rsid w:val="004958BE"/>
    <w:rsid w:val="00495B3B"/>
    <w:rsid w:val="00497C65"/>
    <w:rsid w:val="004A56AF"/>
    <w:rsid w:val="004A6A86"/>
    <w:rsid w:val="004B6182"/>
    <w:rsid w:val="004C0207"/>
    <w:rsid w:val="004C2980"/>
    <w:rsid w:val="004D1969"/>
    <w:rsid w:val="004D449A"/>
    <w:rsid w:val="004D4E4C"/>
    <w:rsid w:val="004E3A92"/>
    <w:rsid w:val="004F72D8"/>
    <w:rsid w:val="00503238"/>
    <w:rsid w:val="00512130"/>
    <w:rsid w:val="0051725A"/>
    <w:rsid w:val="005203B9"/>
    <w:rsid w:val="00535F46"/>
    <w:rsid w:val="00543582"/>
    <w:rsid w:val="0054474F"/>
    <w:rsid w:val="00546E16"/>
    <w:rsid w:val="0055213B"/>
    <w:rsid w:val="00555606"/>
    <w:rsid w:val="005570F7"/>
    <w:rsid w:val="00557AAE"/>
    <w:rsid w:val="0056010B"/>
    <w:rsid w:val="0056160B"/>
    <w:rsid w:val="0057654C"/>
    <w:rsid w:val="00580FD3"/>
    <w:rsid w:val="00583E8E"/>
    <w:rsid w:val="00586D19"/>
    <w:rsid w:val="005A4EF0"/>
    <w:rsid w:val="005A6227"/>
    <w:rsid w:val="005B6002"/>
    <w:rsid w:val="005B64CA"/>
    <w:rsid w:val="005B72E4"/>
    <w:rsid w:val="005C37E1"/>
    <w:rsid w:val="005E28DD"/>
    <w:rsid w:val="005E295E"/>
    <w:rsid w:val="005F4481"/>
    <w:rsid w:val="005F5397"/>
    <w:rsid w:val="005F582E"/>
    <w:rsid w:val="005F5EB9"/>
    <w:rsid w:val="005F729F"/>
    <w:rsid w:val="00602D28"/>
    <w:rsid w:val="00605B2C"/>
    <w:rsid w:val="00621624"/>
    <w:rsid w:val="00621715"/>
    <w:rsid w:val="00650472"/>
    <w:rsid w:val="00656F60"/>
    <w:rsid w:val="006604A3"/>
    <w:rsid w:val="00666B9A"/>
    <w:rsid w:val="006748F8"/>
    <w:rsid w:val="00675FCF"/>
    <w:rsid w:val="00694222"/>
    <w:rsid w:val="00697202"/>
    <w:rsid w:val="00697525"/>
    <w:rsid w:val="006B4AC2"/>
    <w:rsid w:val="006B4EDB"/>
    <w:rsid w:val="006B5711"/>
    <w:rsid w:val="006B6CF5"/>
    <w:rsid w:val="006C00E1"/>
    <w:rsid w:val="006C0F7C"/>
    <w:rsid w:val="006C37D7"/>
    <w:rsid w:val="006D16AF"/>
    <w:rsid w:val="006D1A43"/>
    <w:rsid w:val="006D50FD"/>
    <w:rsid w:val="006E415A"/>
    <w:rsid w:val="006F20E5"/>
    <w:rsid w:val="006F518D"/>
    <w:rsid w:val="006F587D"/>
    <w:rsid w:val="006F6B5B"/>
    <w:rsid w:val="0070067D"/>
    <w:rsid w:val="00701FF7"/>
    <w:rsid w:val="00702189"/>
    <w:rsid w:val="00703CFE"/>
    <w:rsid w:val="00705F65"/>
    <w:rsid w:val="007123AA"/>
    <w:rsid w:val="00715089"/>
    <w:rsid w:val="00717A9E"/>
    <w:rsid w:val="00722EF1"/>
    <w:rsid w:val="007250FF"/>
    <w:rsid w:val="00731275"/>
    <w:rsid w:val="007356CF"/>
    <w:rsid w:val="00742C7F"/>
    <w:rsid w:val="00752FC4"/>
    <w:rsid w:val="00753E10"/>
    <w:rsid w:val="007662D8"/>
    <w:rsid w:val="0077198F"/>
    <w:rsid w:val="007719FC"/>
    <w:rsid w:val="00772616"/>
    <w:rsid w:val="007757DB"/>
    <w:rsid w:val="00777269"/>
    <w:rsid w:val="0078136B"/>
    <w:rsid w:val="00781B8D"/>
    <w:rsid w:val="00781DD3"/>
    <w:rsid w:val="00783942"/>
    <w:rsid w:val="007A0258"/>
    <w:rsid w:val="007A1443"/>
    <w:rsid w:val="007A1E46"/>
    <w:rsid w:val="007A65CD"/>
    <w:rsid w:val="007A7832"/>
    <w:rsid w:val="007B3B68"/>
    <w:rsid w:val="007C023F"/>
    <w:rsid w:val="007C5370"/>
    <w:rsid w:val="007D5754"/>
    <w:rsid w:val="007E7862"/>
    <w:rsid w:val="007F1872"/>
    <w:rsid w:val="007F520A"/>
    <w:rsid w:val="007F7CE9"/>
    <w:rsid w:val="0080797A"/>
    <w:rsid w:val="0081045F"/>
    <w:rsid w:val="0081471E"/>
    <w:rsid w:val="0081640D"/>
    <w:rsid w:val="00831949"/>
    <w:rsid w:val="008320CC"/>
    <w:rsid w:val="0083499E"/>
    <w:rsid w:val="00845BC3"/>
    <w:rsid w:val="00850BC1"/>
    <w:rsid w:val="00854299"/>
    <w:rsid w:val="0086294E"/>
    <w:rsid w:val="0086529F"/>
    <w:rsid w:val="00866206"/>
    <w:rsid w:val="00870BA8"/>
    <w:rsid w:val="00875BFD"/>
    <w:rsid w:val="00877B40"/>
    <w:rsid w:val="00884E31"/>
    <w:rsid w:val="00887544"/>
    <w:rsid w:val="008B26CD"/>
    <w:rsid w:val="008B5498"/>
    <w:rsid w:val="008C3EC0"/>
    <w:rsid w:val="008E3F44"/>
    <w:rsid w:val="008E69CC"/>
    <w:rsid w:val="008F047B"/>
    <w:rsid w:val="008F415C"/>
    <w:rsid w:val="008F72E2"/>
    <w:rsid w:val="008F74E8"/>
    <w:rsid w:val="00903DCF"/>
    <w:rsid w:val="009049F4"/>
    <w:rsid w:val="00904D92"/>
    <w:rsid w:val="00905889"/>
    <w:rsid w:val="0090741B"/>
    <w:rsid w:val="0092193B"/>
    <w:rsid w:val="00922BC6"/>
    <w:rsid w:val="00926D54"/>
    <w:rsid w:val="0092711E"/>
    <w:rsid w:val="00930C19"/>
    <w:rsid w:val="00943F04"/>
    <w:rsid w:val="00946745"/>
    <w:rsid w:val="009523FB"/>
    <w:rsid w:val="00961804"/>
    <w:rsid w:val="00972983"/>
    <w:rsid w:val="0097501D"/>
    <w:rsid w:val="00976F6E"/>
    <w:rsid w:val="00991EEA"/>
    <w:rsid w:val="009A315C"/>
    <w:rsid w:val="009A6A35"/>
    <w:rsid w:val="009C7033"/>
    <w:rsid w:val="009D4827"/>
    <w:rsid w:val="009E3B43"/>
    <w:rsid w:val="009E632C"/>
    <w:rsid w:val="009E731A"/>
    <w:rsid w:val="009F11B9"/>
    <w:rsid w:val="009F1BFA"/>
    <w:rsid w:val="00A071D5"/>
    <w:rsid w:val="00A15B0A"/>
    <w:rsid w:val="00A20BD7"/>
    <w:rsid w:val="00A27E7F"/>
    <w:rsid w:val="00A30A45"/>
    <w:rsid w:val="00A446CE"/>
    <w:rsid w:val="00A47CB1"/>
    <w:rsid w:val="00A51801"/>
    <w:rsid w:val="00A526B1"/>
    <w:rsid w:val="00A64520"/>
    <w:rsid w:val="00A64E4F"/>
    <w:rsid w:val="00A74F52"/>
    <w:rsid w:val="00A77D18"/>
    <w:rsid w:val="00A936E4"/>
    <w:rsid w:val="00A945C1"/>
    <w:rsid w:val="00A951C7"/>
    <w:rsid w:val="00A95636"/>
    <w:rsid w:val="00A95E28"/>
    <w:rsid w:val="00AA374A"/>
    <w:rsid w:val="00AA5159"/>
    <w:rsid w:val="00AD1FFD"/>
    <w:rsid w:val="00AD4363"/>
    <w:rsid w:val="00AE025F"/>
    <w:rsid w:val="00AE7DB2"/>
    <w:rsid w:val="00AF188F"/>
    <w:rsid w:val="00AF66BC"/>
    <w:rsid w:val="00B05258"/>
    <w:rsid w:val="00B057D9"/>
    <w:rsid w:val="00B14540"/>
    <w:rsid w:val="00B31D84"/>
    <w:rsid w:val="00B3790C"/>
    <w:rsid w:val="00B40A60"/>
    <w:rsid w:val="00B41C3E"/>
    <w:rsid w:val="00B46F08"/>
    <w:rsid w:val="00B56584"/>
    <w:rsid w:val="00B730C3"/>
    <w:rsid w:val="00B741F6"/>
    <w:rsid w:val="00B76F75"/>
    <w:rsid w:val="00B803A2"/>
    <w:rsid w:val="00B805E4"/>
    <w:rsid w:val="00B86B8A"/>
    <w:rsid w:val="00B9289F"/>
    <w:rsid w:val="00BC0177"/>
    <w:rsid w:val="00BC01DB"/>
    <w:rsid w:val="00BC12E8"/>
    <w:rsid w:val="00BC463F"/>
    <w:rsid w:val="00BD1D63"/>
    <w:rsid w:val="00BD6C03"/>
    <w:rsid w:val="00BD73A5"/>
    <w:rsid w:val="00BE4702"/>
    <w:rsid w:val="00BE4B95"/>
    <w:rsid w:val="00BE5DF3"/>
    <w:rsid w:val="00BF101D"/>
    <w:rsid w:val="00C03E16"/>
    <w:rsid w:val="00C112AD"/>
    <w:rsid w:val="00C158BF"/>
    <w:rsid w:val="00C23A30"/>
    <w:rsid w:val="00C256B6"/>
    <w:rsid w:val="00C609D9"/>
    <w:rsid w:val="00C640BA"/>
    <w:rsid w:val="00C668ED"/>
    <w:rsid w:val="00C6769F"/>
    <w:rsid w:val="00C752D5"/>
    <w:rsid w:val="00C7722A"/>
    <w:rsid w:val="00C84997"/>
    <w:rsid w:val="00C86127"/>
    <w:rsid w:val="00C94B30"/>
    <w:rsid w:val="00C97C07"/>
    <w:rsid w:val="00CA4A09"/>
    <w:rsid w:val="00CC0BF3"/>
    <w:rsid w:val="00CD09DE"/>
    <w:rsid w:val="00CD1DDC"/>
    <w:rsid w:val="00CE2F12"/>
    <w:rsid w:val="00CF277B"/>
    <w:rsid w:val="00CF2E23"/>
    <w:rsid w:val="00CF349E"/>
    <w:rsid w:val="00CF6185"/>
    <w:rsid w:val="00D0475F"/>
    <w:rsid w:val="00D05395"/>
    <w:rsid w:val="00D12333"/>
    <w:rsid w:val="00D22133"/>
    <w:rsid w:val="00D25496"/>
    <w:rsid w:val="00D35044"/>
    <w:rsid w:val="00D37BF3"/>
    <w:rsid w:val="00D400B2"/>
    <w:rsid w:val="00D4047A"/>
    <w:rsid w:val="00D4206E"/>
    <w:rsid w:val="00D432E8"/>
    <w:rsid w:val="00D44980"/>
    <w:rsid w:val="00D5553A"/>
    <w:rsid w:val="00D74AE3"/>
    <w:rsid w:val="00D74DC7"/>
    <w:rsid w:val="00D80300"/>
    <w:rsid w:val="00D81838"/>
    <w:rsid w:val="00D85364"/>
    <w:rsid w:val="00DA2937"/>
    <w:rsid w:val="00DB2949"/>
    <w:rsid w:val="00DD101C"/>
    <w:rsid w:val="00DD4036"/>
    <w:rsid w:val="00DD52E0"/>
    <w:rsid w:val="00DF78D9"/>
    <w:rsid w:val="00E00532"/>
    <w:rsid w:val="00E07CEF"/>
    <w:rsid w:val="00E159E6"/>
    <w:rsid w:val="00E17691"/>
    <w:rsid w:val="00E22868"/>
    <w:rsid w:val="00E24E56"/>
    <w:rsid w:val="00E263F3"/>
    <w:rsid w:val="00E30DBA"/>
    <w:rsid w:val="00E31C18"/>
    <w:rsid w:val="00E40927"/>
    <w:rsid w:val="00E42864"/>
    <w:rsid w:val="00E61906"/>
    <w:rsid w:val="00E7731B"/>
    <w:rsid w:val="00E812FD"/>
    <w:rsid w:val="00E83635"/>
    <w:rsid w:val="00E90CD3"/>
    <w:rsid w:val="00E95785"/>
    <w:rsid w:val="00EA210F"/>
    <w:rsid w:val="00EA3834"/>
    <w:rsid w:val="00EA3CF3"/>
    <w:rsid w:val="00EA4532"/>
    <w:rsid w:val="00EF39D7"/>
    <w:rsid w:val="00F01943"/>
    <w:rsid w:val="00F02D3F"/>
    <w:rsid w:val="00F13031"/>
    <w:rsid w:val="00F15940"/>
    <w:rsid w:val="00F15E0C"/>
    <w:rsid w:val="00F16007"/>
    <w:rsid w:val="00F234A6"/>
    <w:rsid w:val="00F23FBF"/>
    <w:rsid w:val="00F32C8E"/>
    <w:rsid w:val="00F343B1"/>
    <w:rsid w:val="00F34F8F"/>
    <w:rsid w:val="00F35A70"/>
    <w:rsid w:val="00F3715B"/>
    <w:rsid w:val="00F40E32"/>
    <w:rsid w:val="00F43999"/>
    <w:rsid w:val="00F5298B"/>
    <w:rsid w:val="00F55758"/>
    <w:rsid w:val="00F56268"/>
    <w:rsid w:val="00F60E54"/>
    <w:rsid w:val="00F64250"/>
    <w:rsid w:val="00F674C7"/>
    <w:rsid w:val="00F731C8"/>
    <w:rsid w:val="00F76551"/>
    <w:rsid w:val="00FA5605"/>
    <w:rsid w:val="00FA7728"/>
    <w:rsid w:val="00FB23EC"/>
    <w:rsid w:val="00FB2423"/>
    <w:rsid w:val="00FB3079"/>
    <w:rsid w:val="00FC29CD"/>
    <w:rsid w:val="00FD4408"/>
    <w:rsid w:val="00FD5553"/>
    <w:rsid w:val="00FD5DA5"/>
    <w:rsid w:val="00FE1123"/>
    <w:rsid w:val="00FE2915"/>
    <w:rsid w:val="00FE29CF"/>
    <w:rsid w:val="00FE764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94A4"/>
  <w15:docId w15:val="{2CA52485-0445-1340-BD1E-450DB492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l-GR" w:eastAsia="el-G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CF"/>
  </w:style>
  <w:style w:type="paragraph" w:styleId="Heading1">
    <w:name w:val="heading 1"/>
    <w:basedOn w:val="Normal"/>
    <w:next w:val="Normal"/>
    <w:link w:val="Heading1Char"/>
    <w:uiPriority w:val="9"/>
    <w:qFormat/>
    <w:rsid w:val="00E836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36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36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36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36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36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6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6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6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6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36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36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36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36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36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6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6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635"/>
    <w:rPr>
      <w:rFonts w:eastAsiaTheme="majorEastAsia" w:cstheme="majorBidi"/>
      <w:color w:val="272727" w:themeColor="text1" w:themeTint="D8"/>
    </w:rPr>
  </w:style>
  <w:style w:type="paragraph" w:styleId="Title">
    <w:name w:val="Title"/>
    <w:basedOn w:val="Normal"/>
    <w:next w:val="Normal"/>
    <w:link w:val="TitleChar"/>
    <w:uiPriority w:val="10"/>
    <w:qFormat/>
    <w:rsid w:val="00E836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6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6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6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635"/>
    <w:pPr>
      <w:spacing w:before="160"/>
      <w:jc w:val="center"/>
    </w:pPr>
    <w:rPr>
      <w:i/>
      <w:iCs/>
      <w:color w:val="404040" w:themeColor="text1" w:themeTint="BF"/>
    </w:rPr>
  </w:style>
  <w:style w:type="character" w:customStyle="1" w:styleId="QuoteChar">
    <w:name w:val="Quote Char"/>
    <w:basedOn w:val="DefaultParagraphFont"/>
    <w:link w:val="Quote"/>
    <w:uiPriority w:val="29"/>
    <w:rsid w:val="00E83635"/>
    <w:rPr>
      <w:i/>
      <w:iCs/>
      <w:color w:val="404040" w:themeColor="text1" w:themeTint="BF"/>
    </w:rPr>
  </w:style>
  <w:style w:type="paragraph" w:styleId="ListParagraph">
    <w:name w:val="List Paragraph"/>
    <w:basedOn w:val="Normal"/>
    <w:uiPriority w:val="34"/>
    <w:qFormat/>
    <w:rsid w:val="00E83635"/>
    <w:pPr>
      <w:ind w:left="720"/>
      <w:contextualSpacing/>
    </w:pPr>
  </w:style>
  <w:style w:type="character" w:styleId="IntenseEmphasis">
    <w:name w:val="Intense Emphasis"/>
    <w:basedOn w:val="DefaultParagraphFont"/>
    <w:uiPriority w:val="21"/>
    <w:qFormat/>
    <w:rsid w:val="00E83635"/>
    <w:rPr>
      <w:i/>
      <w:iCs/>
      <w:color w:val="2F5496" w:themeColor="accent1" w:themeShade="BF"/>
    </w:rPr>
  </w:style>
  <w:style w:type="paragraph" w:styleId="IntenseQuote">
    <w:name w:val="Intense Quote"/>
    <w:basedOn w:val="Normal"/>
    <w:next w:val="Normal"/>
    <w:link w:val="IntenseQuoteChar"/>
    <w:uiPriority w:val="30"/>
    <w:qFormat/>
    <w:rsid w:val="00E83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3635"/>
    <w:rPr>
      <w:i/>
      <w:iCs/>
      <w:color w:val="2F5496" w:themeColor="accent1" w:themeShade="BF"/>
    </w:rPr>
  </w:style>
  <w:style w:type="character" w:styleId="IntenseReference">
    <w:name w:val="Intense Reference"/>
    <w:basedOn w:val="DefaultParagraphFont"/>
    <w:uiPriority w:val="32"/>
    <w:qFormat/>
    <w:rsid w:val="00E83635"/>
    <w:rPr>
      <w:b/>
      <w:bCs/>
      <w:smallCaps/>
      <w:color w:val="2F5496" w:themeColor="accent1" w:themeShade="BF"/>
      <w:spacing w:val="5"/>
    </w:rPr>
  </w:style>
  <w:style w:type="paragraph" w:styleId="NormalWeb">
    <w:name w:val="Normal (Web)"/>
    <w:basedOn w:val="Normal"/>
    <w:uiPriority w:val="99"/>
    <w:semiHidden/>
    <w:unhideWhenUsed/>
    <w:rsid w:val="00E83635"/>
    <w:pPr>
      <w:spacing w:before="100" w:beforeAutospacing="1" w:after="100" w:afterAutospacing="1" w:line="240" w:lineRule="auto"/>
    </w:pPr>
    <w:rPr>
      <w:rFonts w:ascii="Times New Roman" w:eastAsia="Times New Roman" w:hAnsi="Times New Roman" w:cs="Times New Roman"/>
      <w:kern w:val="0"/>
    </w:rPr>
  </w:style>
  <w:style w:type="paragraph" w:customStyle="1" w:styleId="p1">
    <w:name w:val="p1"/>
    <w:basedOn w:val="Normal"/>
    <w:rsid w:val="00E83635"/>
    <w:pPr>
      <w:spacing w:after="0" w:line="240" w:lineRule="auto"/>
    </w:pPr>
    <w:rPr>
      <w:rFonts w:ascii=".AppleSystemUIFont" w:hAnsi=".AppleSystemUIFont" w:cs="Times New Roman"/>
      <w:kern w:val="0"/>
      <w:sz w:val="26"/>
      <w:szCs w:val="26"/>
    </w:rPr>
  </w:style>
  <w:style w:type="character" w:customStyle="1" w:styleId="s1">
    <w:name w:val="s1"/>
    <w:basedOn w:val="DefaultParagraphFont"/>
    <w:rsid w:val="00E83635"/>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E83635"/>
  </w:style>
  <w:style w:type="paragraph" w:customStyle="1" w:styleId="s6">
    <w:name w:val="s6"/>
    <w:basedOn w:val="Normal"/>
    <w:rsid w:val="002107D0"/>
    <w:pPr>
      <w:spacing w:before="100" w:beforeAutospacing="1" w:after="100" w:afterAutospacing="1" w:line="240" w:lineRule="auto"/>
    </w:pPr>
    <w:rPr>
      <w:rFonts w:ascii="Times New Roman" w:hAnsi="Times New Roman" w:cs="Times New Roman"/>
      <w:kern w:val="0"/>
    </w:rPr>
  </w:style>
  <w:style w:type="character" w:customStyle="1" w:styleId="s5">
    <w:name w:val="s5"/>
    <w:basedOn w:val="DefaultParagraphFont"/>
    <w:rsid w:val="002107D0"/>
  </w:style>
  <w:style w:type="paragraph" w:customStyle="1" w:styleId="s7">
    <w:name w:val="s7"/>
    <w:basedOn w:val="Normal"/>
    <w:rsid w:val="002107D0"/>
    <w:pPr>
      <w:spacing w:before="100" w:beforeAutospacing="1" w:after="100" w:afterAutospacing="1" w:line="240" w:lineRule="auto"/>
    </w:pPr>
    <w:rPr>
      <w:rFonts w:ascii="Times New Roman" w:hAnsi="Times New Roman" w:cs="Times New Roman"/>
      <w:kern w:val="0"/>
    </w:rPr>
  </w:style>
  <w:style w:type="character" w:customStyle="1" w:styleId="s8">
    <w:name w:val="s8"/>
    <w:basedOn w:val="DefaultParagraphFont"/>
    <w:rsid w:val="002107D0"/>
  </w:style>
  <w:style w:type="paragraph" w:customStyle="1" w:styleId="s10">
    <w:name w:val="s10"/>
    <w:basedOn w:val="Normal"/>
    <w:rsid w:val="002107D0"/>
    <w:pPr>
      <w:spacing w:before="100" w:beforeAutospacing="1" w:after="100" w:afterAutospacing="1" w:line="240" w:lineRule="auto"/>
    </w:pPr>
    <w:rPr>
      <w:rFonts w:ascii="Times New Roman" w:hAnsi="Times New Roman" w:cs="Times New Roman"/>
      <w:kern w:val="0"/>
    </w:rPr>
  </w:style>
  <w:style w:type="character" w:customStyle="1" w:styleId="s9">
    <w:name w:val="s9"/>
    <w:basedOn w:val="DefaultParagraphFont"/>
    <w:rsid w:val="002107D0"/>
  </w:style>
  <w:style w:type="character" w:customStyle="1" w:styleId="s11">
    <w:name w:val="s11"/>
    <w:basedOn w:val="DefaultParagraphFont"/>
    <w:rsid w:val="002107D0"/>
  </w:style>
  <w:style w:type="paragraph" w:customStyle="1" w:styleId="s13">
    <w:name w:val="s13"/>
    <w:basedOn w:val="Normal"/>
    <w:rsid w:val="002107D0"/>
    <w:pPr>
      <w:spacing w:before="100" w:beforeAutospacing="1" w:after="100" w:afterAutospacing="1" w:line="240" w:lineRule="auto"/>
    </w:pPr>
    <w:rPr>
      <w:rFonts w:ascii="Times New Roman" w:hAnsi="Times New Roman" w:cs="Times New Roman"/>
      <w:kern w:val="0"/>
    </w:rPr>
  </w:style>
  <w:style w:type="character" w:customStyle="1" w:styleId="s12">
    <w:name w:val="s12"/>
    <w:basedOn w:val="DefaultParagraphFont"/>
    <w:rsid w:val="002107D0"/>
  </w:style>
  <w:style w:type="character" w:customStyle="1" w:styleId="s14">
    <w:name w:val="s14"/>
    <w:basedOn w:val="DefaultParagraphFont"/>
    <w:rsid w:val="002107D0"/>
  </w:style>
  <w:style w:type="character" w:customStyle="1" w:styleId="s16">
    <w:name w:val="s16"/>
    <w:basedOn w:val="DefaultParagraphFont"/>
    <w:rsid w:val="002107D0"/>
  </w:style>
  <w:style w:type="paragraph" w:customStyle="1" w:styleId="s17">
    <w:name w:val="s17"/>
    <w:basedOn w:val="Normal"/>
    <w:rsid w:val="002107D0"/>
    <w:pPr>
      <w:spacing w:before="100" w:beforeAutospacing="1" w:after="100" w:afterAutospacing="1" w:line="240" w:lineRule="auto"/>
    </w:pPr>
    <w:rPr>
      <w:rFonts w:ascii="Times New Roman" w:hAnsi="Times New Roman" w:cs="Times New Roman"/>
      <w:kern w:val="0"/>
    </w:rPr>
  </w:style>
  <w:style w:type="paragraph" w:customStyle="1" w:styleId="p2">
    <w:name w:val="p2"/>
    <w:basedOn w:val="Normal"/>
    <w:rsid w:val="004D4E4C"/>
    <w:pPr>
      <w:spacing w:after="0" w:line="240" w:lineRule="auto"/>
    </w:pPr>
    <w:rPr>
      <w:rFonts w:ascii=".AppleSystemUIFont" w:hAnsi=".AppleSystemUIFont" w:cs="Times New Roman"/>
      <w:kern w:val="0"/>
      <w:sz w:val="26"/>
      <w:szCs w:val="26"/>
    </w:rPr>
  </w:style>
  <w:style w:type="character" w:customStyle="1" w:styleId="s2">
    <w:name w:val="s2"/>
    <w:basedOn w:val="DefaultParagraphFont"/>
    <w:rsid w:val="004D4E4C"/>
    <w:rPr>
      <w:rFonts w:ascii="UICTFontTextStyleBody" w:hAnsi="UICTFontTextStyleBody" w:hint="default"/>
      <w:b w:val="0"/>
      <w:bCs w:val="0"/>
      <w:i w:val="0"/>
      <w:iCs w:val="0"/>
      <w:sz w:val="26"/>
      <w:szCs w:val="26"/>
    </w:rPr>
  </w:style>
  <w:style w:type="paragraph" w:customStyle="1" w:styleId="p3">
    <w:name w:val="p3"/>
    <w:basedOn w:val="Normal"/>
    <w:rsid w:val="000F5FDB"/>
    <w:pPr>
      <w:spacing w:after="0" w:line="240" w:lineRule="auto"/>
    </w:pPr>
    <w:rPr>
      <w:rFonts w:ascii=".AppleSystemUIFont" w:hAnsi=".AppleSystemUIFont" w:cs="Times New Roman"/>
      <w:kern w:val="0"/>
      <w:sz w:val="26"/>
      <w:szCs w:val="26"/>
    </w:rPr>
  </w:style>
  <w:style w:type="character" w:customStyle="1" w:styleId="s4">
    <w:name w:val="s4"/>
    <w:basedOn w:val="DefaultParagraphFont"/>
    <w:rsid w:val="000F5FDB"/>
    <w:rPr>
      <w:rFonts w:ascii="UICTFontTextStyleEmphasizedBody" w:hAnsi="UICTFontTextStyleEmphasizedBody" w:hint="default"/>
      <w:b/>
      <w:bCs/>
      <w:i w:val="0"/>
      <w:iCs w:val="0"/>
      <w:sz w:val="26"/>
      <w:szCs w:val="26"/>
    </w:rPr>
  </w:style>
  <w:style w:type="paragraph" w:styleId="Header">
    <w:name w:val="header"/>
    <w:basedOn w:val="Normal"/>
    <w:link w:val="HeaderChar"/>
    <w:uiPriority w:val="99"/>
    <w:unhideWhenUsed/>
    <w:rsid w:val="00D221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2133"/>
  </w:style>
  <w:style w:type="paragraph" w:styleId="Footer">
    <w:name w:val="footer"/>
    <w:basedOn w:val="Normal"/>
    <w:link w:val="FooterChar"/>
    <w:uiPriority w:val="99"/>
    <w:unhideWhenUsed/>
    <w:rsid w:val="00D221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2133"/>
  </w:style>
  <w:style w:type="character" w:styleId="Hyperlink">
    <w:name w:val="Hyperlink"/>
    <w:basedOn w:val="DefaultParagraphFont"/>
    <w:uiPriority w:val="99"/>
    <w:semiHidden/>
    <w:unhideWhenUsed/>
    <w:rsid w:val="00F56268"/>
    <w:rPr>
      <w:color w:val="0000FF"/>
      <w:u w:val="single"/>
    </w:rPr>
  </w:style>
  <w:style w:type="character" w:customStyle="1" w:styleId="s3">
    <w:name w:val="s3"/>
    <w:basedOn w:val="DefaultParagraphFont"/>
    <w:rsid w:val="008E69CC"/>
    <w:rPr>
      <w:rFonts w:ascii="UICTFontTextStyleEmphasizedBody" w:hAnsi="UICTFontTextStyleEmphasizedBody" w:hint="default"/>
      <w:b/>
      <w:bCs/>
      <w:i w:val="0"/>
      <w:iCs w:val="0"/>
      <w:sz w:val="42"/>
      <w:szCs w:val="42"/>
    </w:rPr>
  </w:style>
  <w:style w:type="paragraph" w:customStyle="1" w:styleId="li3">
    <w:name w:val="li3"/>
    <w:basedOn w:val="Normal"/>
    <w:rsid w:val="002E257D"/>
    <w:pPr>
      <w:spacing w:after="0" w:line="240" w:lineRule="auto"/>
    </w:pPr>
    <w:rPr>
      <w:rFonts w:ascii=".AppleSystemUIFont" w:hAnsi=".AppleSystemUIFont" w:cs="Times New Roman"/>
      <w:kern w:val="0"/>
      <w:sz w:val="26"/>
      <w:szCs w:val="26"/>
    </w:rPr>
  </w:style>
  <w:style w:type="paragraph" w:customStyle="1" w:styleId="li1">
    <w:name w:val="li1"/>
    <w:basedOn w:val="Normal"/>
    <w:rsid w:val="00694222"/>
    <w:pPr>
      <w:spacing w:after="0" w:line="240" w:lineRule="auto"/>
    </w:pPr>
    <w:rPr>
      <w:rFonts w:ascii=".AppleSystemUIFont" w:hAnsi=".AppleSystemUIFont" w:cs="Times New Roman"/>
      <w:kern w:val="0"/>
      <w:sz w:val="26"/>
      <w:szCs w:val="26"/>
    </w:rPr>
  </w:style>
  <w:style w:type="paragraph" w:styleId="BalloonText">
    <w:name w:val="Balloon Text"/>
    <w:basedOn w:val="Normal"/>
    <w:link w:val="BalloonTextChar"/>
    <w:uiPriority w:val="99"/>
    <w:semiHidden/>
    <w:unhideWhenUsed/>
    <w:rsid w:val="00006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58A"/>
    <w:rPr>
      <w:rFonts w:ascii="Segoe UI" w:hAnsi="Segoe UI" w:cs="Segoe UI"/>
      <w:sz w:val="18"/>
      <w:szCs w:val="18"/>
    </w:rPr>
  </w:style>
  <w:style w:type="table" w:styleId="TableGrid">
    <w:name w:val="Table Grid"/>
    <w:basedOn w:val="TableNormal"/>
    <w:uiPriority w:val="59"/>
    <w:rsid w:val="00AE025F"/>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E025F"/>
    <w:pPr>
      <w:spacing w:before="100" w:beforeAutospacing="1" w:after="100" w:afterAutospacing="1" w:line="240" w:lineRule="auto"/>
    </w:pPr>
    <w:rPr>
      <w:rFonts w:ascii="Times New Roman" w:eastAsia="Times New Roman" w:hAnsi="Times New Roman" w:cs="Times New Roman"/>
      <w:kern w:val="0"/>
    </w:rPr>
  </w:style>
  <w:style w:type="character" w:customStyle="1" w:styleId="normaltextrun">
    <w:name w:val="normaltextrun"/>
    <w:basedOn w:val="DefaultParagraphFont"/>
    <w:rsid w:val="00AE025F"/>
  </w:style>
  <w:style w:type="character" w:customStyle="1" w:styleId="eop">
    <w:name w:val="eop"/>
    <w:basedOn w:val="DefaultParagraphFont"/>
    <w:rsid w:val="00AE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264981">
      <w:bodyDiv w:val="1"/>
      <w:marLeft w:val="0"/>
      <w:marRight w:val="0"/>
      <w:marTop w:val="0"/>
      <w:marBottom w:val="0"/>
      <w:divBdr>
        <w:top w:val="none" w:sz="0" w:space="0" w:color="auto"/>
        <w:left w:val="none" w:sz="0" w:space="0" w:color="auto"/>
        <w:bottom w:val="none" w:sz="0" w:space="0" w:color="auto"/>
        <w:right w:val="none" w:sz="0" w:space="0" w:color="auto"/>
      </w:divBdr>
    </w:div>
    <w:div w:id="395474699">
      <w:bodyDiv w:val="1"/>
      <w:marLeft w:val="0"/>
      <w:marRight w:val="0"/>
      <w:marTop w:val="0"/>
      <w:marBottom w:val="0"/>
      <w:divBdr>
        <w:top w:val="none" w:sz="0" w:space="0" w:color="auto"/>
        <w:left w:val="none" w:sz="0" w:space="0" w:color="auto"/>
        <w:bottom w:val="none" w:sz="0" w:space="0" w:color="auto"/>
        <w:right w:val="none" w:sz="0" w:space="0" w:color="auto"/>
      </w:divBdr>
    </w:div>
    <w:div w:id="518087149">
      <w:bodyDiv w:val="1"/>
      <w:marLeft w:val="0"/>
      <w:marRight w:val="0"/>
      <w:marTop w:val="0"/>
      <w:marBottom w:val="0"/>
      <w:divBdr>
        <w:top w:val="none" w:sz="0" w:space="0" w:color="auto"/>
        <w:left w:val="none" w:sz="0" w:space="0" w:color="auto"/>
        <w:bottom w:val="none" w:sz="0" w:space="0" w:color="auto"/>
        <w:right w:val="none" w:sz="0" w:space="0" w:color="auto"/>
      </w:divBdr>
    </w:div>
    <w:div w:id="826021423">
      <w:bodyDiv w:val="1"/>
      <w:marLeft w:val="0"/>
      <w:marRight w:val="0"/>
      <w:marTop w:val="0"/>
      <w:marBottom w:val="0"/>
      <w:divBdr>
        <w:top w:val="none" w:sz="0" w:space="0" w:color="auto"/>
        <w:left w:val="none" w:sz="0" w:space="0" w:color="auto"/>
        <w:bottom w:val="none" w:sz="0" w:space="0" w:color="auto"/>
        <w:right w:val="none" w:sz="0" w:space="0" w:color="auto"/>
      </w:divBdr>
    </w:div>
    <w:div w:id="860704719">
      <w:bodyDiv w:val="1"/>
      <w:marLeft w:val="0"/>
      <w:marRight w:val="0"/>
      <w:marTop w:val="0"/>
      <w:marBottom w:val="0"/>
      <w:divBdr>
        <w:top w:val="none" w:sz="0" w:space="0" w:color="auto"/>
        <w:left w:val="none" w:sz="0" w:space="0" w:color="auto"/>
        <w:bottom w:val="none" w:sz="0" w:space="0" w:color="auto"/>
        <w:right w:val="none" w:sz="0" w:space="0" w:color="auto"/>
      </w:divBdr>
    </w:div>
    <w:div w:id="1275821794">
      <w:marLeft w:val="0"/>
      <w:marRight w:val="0"/>
      <w:marTop w:val="0"/>
      <w:marBottom w:val="0"/>
      <w:divBdr>
        <w:top w:val="none" w:sz="0" w:space="0" w:color="auto"/>
        <w:left w:val="none" w:sz="0" w:space="0" w:color="auto"/>
        <w:bottom w:val="none" w:sz="0" w:space="0" w:color="auto"/>
        <w:right w:val="none" w:sz="0" w:space="0" w:color="auto"/>
      </w:divBdr>
      <w:divsChild>
        <w:div w:id="2075008255">
          <w:marLeft w:val="0"/>
          <w:marRight w:val="0"/>
          <w:marTop w:val="0"/>
          <w:marBottom w:val="0"/>
          <w:divBdr>
            <w:top w:val="none" w:sz="0" w:space="0" w:color="auto"/>
            <w:left w:val="none" w:sz="0" w:space="0" w:color="auto"/>
            <w:bottom w:val="none" w:sz="0" w:space="0" w:color="auto"/>
            <w:right w:val="none" w:sz="0" w:space="0" w:color="auto"/>
          </w:divBdr>
          <w:divsChild>
            <w:div w:id="2878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2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2239</Words>
  <Characters>12767</Characters>
  <Application>Microsoft Office Word</Application>
  <DocSecurity>0</DocSecurity>
  <Lines>106</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Giorgos Tzanoudakis</cp:lastModifiedBy>
  <cp:revision>2</cp:revision>
  <cp:lastPrinted>2025-09-11T08:53:00Z</cp:lastPrinted>
  <dcterms:created xsi:type="dcterms:W3CDTF">2025-09-11T09:50:00Z</dcterms:created>
  <dcterms:modified xsi:type="dcterms:W3CDTF">2025-09-11T13:45:00Z</dcterms:modified>
</cp:coreProperties>
</file>